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乐和乐都慢生活庄园（熊猫馆）及其配套项目EPC总承包工程</w:t>
      </w:r>
      <w:r>
        <w:rPr>
          <w:rFonts w:hint="eastAsia" w:ascii="方正仿宋_GBK" w:hAnsi="方正仿宋_GBK" w:eastAsia="方正仿宋_GBK" w:cs="方正仿宋_GBK"/>
          <w:b/>
          <w:bCs/>
          <w:kern w:val="0"/>
          <w:sz w:val="32"/>
          <w:szCs w:val="32"/>
        </w:rPr>
        <w:t>劳务分包竞争性比选公告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7"/>
        <w:keepNext w:val="0"/>
        <w:keepLines w:val="0"/>
        <w:pageBreakBefore w:val="0"/>
        <w:widowControl w:val="0"/>
        <w:kinsoku/>
        <w:wordWrap/>
        <w:overflowPunct/>
        <w:topLinePunct w:val="0"/>
        <w:autoSpaceDE/>
        <w:autoSpaceDN/>
        <w:bidi w:val="0"/>
        <w:adjustRightInd/>
        <w:snapToGrid/>
        <w:spacing w:line="460" w:lineRule="exact"/>
        <w:ind w:firstLine="435"/>
        <w:textAlignment w:val="auto"/>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本次竞争性比选项目为</w:t>
      </w:r>
      <w:r>
        <w:rPr>
          <w:rStyle w:val="13"/>
          <w:rFonts w:hint="eastAsia" w:ascii="方正仿宋_GBK" w:hAnsi="方正仿宋_GBK" w:eastAsia="方正仿宋_GBK" w:cs="方正仿宋_GBK"/>
          <w:color w:val="555555"/>
          <w:sz w:val="28"/>
          <w:szCs w:val="28"/>
          <w:shd w:val="clear" w:color="auto" w:fill="FFFFFF"/>
          <w:lang w:val="zh-CN"/>
        </w:rPr>
        <w:t>乐和乐都慢生活庄园（熊猫馆）及其配套项目EPC总承包工程</w:t>
      </w:r>
      <w:r>
        <w:rPr>
          <w:rStyle w:val="13"/>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3"/>
          <w:rFonts w:hint="eastAsia" w:ascii="方正仿宋_GBK" w:hAnsi="方正仿宋_GBK" w:eastAsia="方正仿宋_GBK" w:cs="方正仿宋_GBK"/>
          <w:color w:val="555555"/>
          <w:sz w:val="28"/>
          <w:szCs w:val="28"/>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w:t>
      </w:r>
      <w:r>
        <w:rPr>
          <w:rFonts w:hint="eastAsia" w:ascii="方正仿宋_GBK" w:hAnsi="方正仿宋_GBK" w:eastAsia="方正仿宋_GBK" w:cs="方正仿宋_GBK"/>
          <w:color w:val="555555"/>
          <w:sz w:val="28"/>
          <w:szCs w:val="28"/>
          <w:shd w:val="clear" w:color="auto" w:fill="FFFFFF"/>
          <w:lang w:val="en-US" w:eastAsia="zh-CN"/>
        </w:rPr>
        <w:t>永川区乐和乐都主题公园内</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项目概况：占地面积约23.6亩，总建筑面积约3983㎡</w:t>
      </w:r>
      <w:r>
        <w:rPr>
          <w:rFonts w:hint="eastAsia" w:ascii="方正仿宋_GBK" w:hAnsi="方正仿宋_GBK" w:eastAsia="方正仿宋_GBK" w:cs="方正仿宋_GBK"/>
          <w:color w:val="555555"/>
          <w:sz w:val="28"/>
          <w:szCs w:val="28"/>
          <w:shd w:val="clear" w:color="auto" w:fill="FFFFFF"/>
          <w:lang w:val="zh-CN"/>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555555"/>
          <w:sz w:val="28"/>
          <w:szCs w:val="28"/>
          <w:shd w:val="clear" w:color="auto" w:fill="FFFFFF"/>
          <w:lang w:val="en-US" w:eastAsia="zh-CN"/>
        </w:rPr>
        <w:t>120</w:t>
      </w:r>
      <w:r>
        <w:rPr>
          <w:rFonts w:hint="eastAsia" w:ascii="方正仿宋_GBK" w:hAnsi="方正仿宋_GBK" w:eastAsia="方正仿宋_GBK" w:cs="方正仿宋_GBK"/>
          <w:color w:val="555555"/>
          <w:sz w:val="28"/>
          <w:szCs w:val="28"/>
          <w:shd w:val="clear" w:color="auto" w:fill="FFFFFF"/>
        </w:rPr>
        <w:t>日历天。</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比选范围：本次比选为项目总包的劳务作业，具体范围详</w:t>
      </w:r>
      <w:r>
        <w:rPr>
          <w:rFonts w:hint="eastAsia" w:ascii="方正仿宋_GBK" w:hAnsi="方正仿宋_GBK" w:eastAsia="方正仿宋_GBK" w:cs="方正仿宋_GBK"/>
          <w:color w:val="555555"/>
          <w:sz w:val="28"/>
          <w:szCs w:val="28"/>
          <w:shd w:val="clear" w:color="auto" w:fill="FFFFFF"/>
          <w:lang w:val="en-US" w:eastAsia="zh-CN"/>
        </w:rPr>
        <w:t>见</w:t>
      </w:r>
      <w:r>
        <w:rPr>
          <w:rFonts w:hint="eastAsia" w:ascii="方正仿宋_GBK" w:hAnsi="方正仿宋_GBK" w:eastAsia="方正仿宋_GBK" w:cs="方正仿宋_GBK"/>
          <w:color w:val="555555"/>
          <w:sz w:val="28"/>
          <w:szCs w:val="28"/>
          <w:shd w:val="clear" w:color="auto" w:fill="FFFFFF"/>
        </w:rPr>
        <w:t>劳务分包合同。</w:t>
      </w:r>
    </w:p>
    <w:p>
      <w:pPr>
        <w:pStyle w:val="9"/>
        <w:widowControl/>
        <w:shd w:val="clear" w:color="auto" w:fill="FFFFFF"/>
        <w:spacing w:before="0" w:beforeAutospacing="0" w:after="0" w:afterAutospacing="0" w:line="378" w:lineRule="atLeast"/>
        <w:rPr>
          <w:rStyle w:val="13"/>
          <w:rFonts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9"/>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3"/>
          <w:rFonts w:hint="eastAsia" w:ascii="方正仿宋_GBK" w:hAnsi="方正仿宋_GBK" w:eastAsia="方正仿宋_GBK" w:cs="方正仿宋_GBK"/>
          <w:color w:val="000000"/>
          <w:sz w:val="28"/>
          <w:szCs w:val="28"/>
          <w:shd w:val="clear" w:color="auto" w:fill="FFFFFF"/>
        </w:rPr>
        <w:t>2020年</w:t>
      </w:r>
      <w:r>
        <w:rPr>
          <w:rStyle w:val="13"/>
          <w:rFonts w:hint="eastAsia" w:ascii="方正仿宋_GBK" w:hAnsi="方正仿宋_GBK" w:eastAsia="方正仿宋_GBK" w:cs="方正仿宋_GBK"/>
          <w:color w:val="000000"/>
          <w:sz w:val="28"/>
          <w:szCs w:val="28"/>
          <w:shd w:val="clear" w:color="auto" w:fill="FFFFFF"/>
          <w:lang w:val="en-US" w:eastAsia="zh-CN"/>
        </w:rPr>
        <w:t>10</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 xml:space="preserve">  </w:t>
      </w:r>
      <w:r>
        <w:rPr>
          <w:rStyle w:val="13"/>
          <w:rFonts w:hint="eastAsia" w:ascii="方正仿宋_GBK" w:hAnsi="方正仿宋_GBK" w:eastAsia="方正仿宋_GBK" w:cs="方正仿宋_GBK"/>
          <w:color w:val="000000"/>
          <w:sz w:val="28"/>
          <w:szCs w:val="28"/>
          <w:shd w:val="clear" w:color="auto" w:fill="FFFFFF"/>
        </w:rPr>
        <w:t xml:space="preserve"> </w:t>
      </w:r>
      <w:r>
        <w:rPr>
          <w:rStyle w:val="13"/>
          <w:rFonts w:hint="eastAsia" w:ascii="方正仿宋_GBK" w:hAnsi="方正仿宋_GBK" w:eastAsia="方正仿宋_GBK" w:cs="方正仿宋_GBK"/>
          <w:color w:val="000000"/>
          <w:sz w:val="28"/>
          <w:szCs w:val="28"/>
          <w:shd w:val="clear" w:color="auto" w:fill="FFFFFF"/>
          <w:lang w:val="en-US" w:eastAsia="zh-CN"/>
        </w:rPr>
        <w:t>29</w:t>
      </w:r>
      <w:r>
        <w:rPr>
          <w:rStyle w:val="13"/>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3"/>
          <w:rFonts w:hint="eastAsia" w:ascii="方正仿宋_GBK" w:hAnsi="方正仿宋_GBK" w:eastAsia="方正仿宋_GBK" w:cs="方正仿宋_GBK"/>
          <w:color w:val="000000"/>
          <w:sz w:val="28"/>
          <w:szCs w:val="28"/>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3"/>
          <w:rFonts w:hint="eastAsia" w:ascii="方正仿宋_GBK" w:hAnsi="方正仿宋_GBK" w:eastAsia="方正仿宋_GBK" w:cs="方正仿宋_GBK"/>
          <w:color w:val="000000"/>
          <w:sz w:val="28"/>
          <w:szCs w:val="28"/>
          <w:shd w:val="clear" w:color="auto" w:fill="FFFFFF"/>
        </w:rPr>
        <w:t>2020年</w:t>
      </w:r>
      <w:r>
        <w:rPr>
          <w:rStyle w:val="13"/>
          <w:rFonts w:hint="eastAsia" w:ascii="方正仿宋_GBK" w:hAnsi="方正仿宋_GBK" w:eastAsia="方正仿宋_GBK" w:cs="方正仿宋_GBK"/>
          <w:color w:val="000000"/>
          <w:sz w:val="28"/>
          <w:szCs w:val="28"/>
          <w:shd w:val="clear" w:color="auto" w:fill="FFFFFF"/>
          <w:lang w:val="en-US" w:eastAsia="zh-CN"/>
        </w:rPr>
        <w:t>11</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5</w:t>
      </w:r>
      <w:r>
        <w:rPr>
          <w:rStyle w:val="13"/>
          <w:rFonts w:hint="eastAsia" w:ascii="方正仿宋_GBK" w:hAnsi="方正仿宋_GBK" w:eastAsia="方正仿宋_GBK" w:cs="方正仿宋_GBK"/>
          <w:color w:val="000000"/>
          <w:sz w:val="28"/>
          <w:szCs w:val="28"/>
          <w:shd w:val="clear" w:color="auto" w:fill="FFFFFF"/>
        </w:rPr>
        <w:t>日</w:t>
      </w:r>
      <w:r>
        <w:rPr>
          <w:rStyle w:val="13"/>
          <w:rFonts w:hint="eastAsia" w:ascii="方正仿宋_GBK" w:hAnsi="方正仿宋_GBK" w:eastAsia="方正仿宋_GBK" w:cs="方正仿宋_GBK"/>
          <w:color w:val="000000"/>
          <w:sz w:val="28"/>
          <w:szCs w:val="28"/>
          <w:shd w:val="clear" w:color="auto" w:fill="FFFFFF"/>
          <w:lang w:val="en-US" w:eastAsia="zh-CN"/>
        </w:rPr>
        <w:t>16</w:t>
      </w:r>
      <w:r>
        <w:rPr>
          <w:rStyle w:val="13"/>
          <w:rFonts w:hint="eastAsia" w:ascii="方正仿宋_GBK" w:hAnsi="方正仿宋_GBK" w:eastAsia="方正仿宋_GBK" w:cs="方正仿宋_GBK"/>
          <w:color w:val="000000"/>
          <w:sz w:val="28"/>
          <w:szCs w:val="28"/>
          <w:shd w:val="clear" w:color="auto" w:fill="FFFFFF"/>
        </w:rPr>
        <w:t>时</w:t>
      </w:r>
      <w:r>
        <w:rPr>
          <w:rStyle w:val="13"/>
          <w:rFonts w:hint="eastAsia" w:ascii="方正仿宋_GBK" w:hAnsi="方正仿宋_GBK" w:eastAsia="方正仿宋_GBK" w:cs="方正仿宋_GBK"/>
          <w:color w:val="000000"/>
          <w:sz w:val="28"/>
          <w:szCs w:val="28"/>
          <w:shd w:val="clear" w:color="auto" w:fill="FFFFFF"/>
          <w:lang w:val="en-US" w:eastAsia="zh-CN"/>
        </w:rPr>
        <w:t>30</w:t>
      </w:r>
      <w:r>
        <w:rPr>
          <w:rStyle w:val="13"/>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乐和乐都慢生活庄园（熊猫馆）及其配套项目EPC总承包工程</w:t>
      </w:r>
      <w:r>
        <w:rPr>
          <w:rFonts w:hint="eastAsia" w:ascii="仿宋_GB2312" w:hAnsi="仿宋_GB2312" w:eastAsia="仿宋_GB2312" w:cs="仿宋_GB2312"/>
          <w:b/>
          <w:sz w:val="32"/>
          <w:szCs w:val="32"/>
        </w:rPr>
        <w:t>劳务分包竞争性比选规则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val="zh-CN"/>
        </w:rPr>
        <w:t>乐和乐都慢生活庄园（熊猫馆）及其配套项目EPC总承包工程</w:t>
      </w:r>
      <w:r>
        <w:rPr>
          <w:rFonts w:hint="eastAsia" w:ascii="方正仿宋_GBK" w:hAnsi="方正仿宋_GBK" w:eastAsia="方正仿宋_GBK" w:cs="方正仿宋_GBK"/>
          <w:sz w:val="28"/>
          <w:szCs w:val="32"/>
        </w:rPr>
        <w:t>的施工需要，经邀请人研究决定,现对该工程采取竞争性比选方式选择劳务分包单位。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乐和乐都慢生活庄园（熊猫馆）及其配套项目EPC总承包工程劳务分包</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方正仿宋_GBK" w:hAnsi="方正仿宋_GBK" w:eastAsia="方正仿宋_GBK" w:cs="方正仿宋_GBK"/>
          <w:sz w:val="28"/>
          <w:szCs w:val="32"/>
        </w:rPr>
        <w:t>三、劳务分包内容：</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总包合同范围内临时设施工程、主体工程的劳务作业，具体以施工图纸及劳务清单为准</w:t>
      </w:r>
      <w:r>
        <w:rPr>
          <w:rFonts w:hint="eastAsia" w:ascii="仿宋_GB2312" w:hAnsi="仿宋_GB2312" w:eastAsia="仿宋_GB2312" w:cs="仿宋_GB2312"/>
          <w:sz w:val="28"/>
          <w:szCs w:val="28"/>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劳务分包竞争性比选规则如下：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（一）参与该项目竞争性比选的单位必须为邀请人工程类资源库中具备建筑劳务施工资质的单位。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（二）参与该项目竞争性比选的单位须具有较强的施工组织能力，并且在近</w:t>
      </w:r>
      <w:r>
        <w:rPr>
          <w:rFonts w:hint="eastAsia" w:ascii="方正仿宋_GBK" w:hAnsi="方正仿宋_GBK" w:eastAsia="方正仿宋_GBK" w:cs="方正仿宋_GBK"/>
          <w:sz w:val="28"/>
          <w:szCs w:val="32"/>
          <w:u w:val="single"/>
        </w:rPr>
        <w:t xml:space="preserve"> 2 </w:t>
      </w:r>
      <w:r>
        <w:rPr>
          <w:rFonts w:hint="eastAsia" w:ascii="方正仿宋_GBK" w:hAnsi="方正仿宋_GBK" w:eastAsia="方正仿宋_GBK" w:cs="方正仿宋_GBK"/>
          <w:sz w:val="28"/>
          <w:szCs w:val="32"/>
        </w:rPr>
        <w:t>年内所承建的劳务分包工程项目未出现质量、安全事故。</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color w:val="000000" w:themeColor="text1"/>
          <w:sz w:val="28"/>
          <w:szCs w:val="32"/>
          <w:u w:val="single"/>
          <w:lang w:val="en-US" w:eastAsia="zh-CN"/>
          <w14:textFill>
            <w14:solidFill>
              <w14:schemeClr w14:val="tx1"/>
            </w14:solidFill>
          </w14:textFill>
        </w:rPr>
        <w:t>120</w:t>
      </w:r>
      <w:r>
        <w:rPr>
          <w:rFonts w:hint="eastAsia" w:ascii="方正仿宋_GBK" w:hAnsi="方正仿宋_GBK" w:eastAsia="方正仿宋_GBK" w:cs="方正仿宋_GBK"/>
          <w:color w:val="000000" w:themeColor="text1"/>
          <w:sz w:val="28"/>
          <w:szCs w:val="32"/>
          <w:u w:val="single"/>
          <w14:textFill>
            <w14:solidFill>
              <w14:schemeClr w14:val="tx1"/>
            </w14:solidFill>
          </w14:textFill>
        </w:rPr>
        <w:t>日历天</w:t>
      </w:r>
      <w:r>
        <w:rPr>
          <w:rFonts w:hint="eastAsia" w:ascii="方正仿宋_GBK" w:hAnsi="方正仿宋_GBK" w:eastAsia="方正仿宋_GBK" w:cs="方正仿宋_GBK"/>
          <w:color w:val="000000"/>
          <w:sz w:val="28"/>
          <w:szCs w:val="32"/>
        </w:rPr>
        <w:t>（含节</w:t>
      </w:r>
      <w:r>
        <w:rPr>
          <w:rFonts w:hint="eastAsia" w:ascii="方正仿宋_GBK" w:hAnsi="方正仿宋_GBK" w:eastAsia="方正仿宋_GBK" w:cs="方正仿宋_GBK"/>
          <w:sz w:val="28"/>
          <w:szCs w:val="32"/>
        </w:rPr>
        <w:t>假日），</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（四）该项目各分项工程必须按照合格工程和国家有关部门颁发的规范标准执行。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rPr>
        <w:t>，如竞价人未按期提供履约担保则邀请人将没收其竞价保证金。本工程进度款支付方式详见附件二《</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项目劳务分包合同》中的相关约定，请各竞价人充分考虑本因素，一旦中标即视为报价中已包含资金成本，竞价人不得再向邀请人提出索赔等额外的费用。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5</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16</w:t>
      </w:r>
      <w:r>
        <w:rPr>
          <w:rFonts w:hint="eastAsia" w:ascii="仿宋_GB2312" w:hAnsi="仿宋_GB2312" w:eastAsia="仿宋_GB2312" w:cs="仿宋_GB2312"/>
          <w:color w:val="000000"/>
          <w:sz w:val="28"/>
          <w:szCs w:val="32"/>
          <w:lang w:val="en-US" w:eastAsia="zh-CN"/>
        </w:rPr>
        <w:t>时</w:t>
      </w:r>
      <w:r>
        <w:rPr>
          <w:rFonts w:hint="eastAsia" w:ascii="仿宋_GB2312" w:hAnsi="仿宋_GB2312" w:eastAsia="仿宋_GB2312" w:cs="仿宋_GB2312"/>
          <w:color w:val="000000"/>
          <w:sz w:val="28"/>
          <w:szCs w:val="32"/>
          <w:u w:val="single"/>
          <w:lang w:val="en-US" w:eastAsia="zh-CN"/>
        </w:rPr>
        <w:t>30</w:t>
      </w:r>
      <w:r>
        <w:rPr>
          <w:rFonts w:hint="eastAsia" w:ascii="仿宋_GB2312" w:hAnsi="仿宋_GB2312" w:eastAsia="仿宋_GB2312" w:cs="仿宋_GB2312"/>
          <w:color w:val="000000"/>
          <w:sz w:val="28"/>
          <w:szCs w:val="32"/>
          <w:lang w:val="en-US" w:eastAsia="zh-CN"/>
        </w:rPr>
        <w:t>分</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color w:val="000000"/>
          <w:sz w:val="28"/>
          <w:szCs w:val="32"/>
          <w:u w:val="single"/>
        </w:rPr>
      </w:pPr>
      <w:r>
        <w:rPr>
          <w:rFonts w:hint="eastAsia" w:ascii="仿宋_GB2312" w:hAnsi="仿宋_GB2312" w:eastAsia="仿宋_GB2312" w:cs="仿宋_GB2312"/>
          <w:sz w:val="28"/>
          <w:szCs w:val="32"/>
        </w:rPr>
        <w:t>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 xml:space="preserve">月 </w:t>
      </w:r>
    </w:p>
    <w:p>
      <w:pPr>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u w:val="single"/>
          <w:lang w:val="en-US" w:eastAsia="zh-CN"/>
        </w:rPr>
        <w:t>2</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劳务分包综合单价及总价最高限价表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附件六：</w:t>
      </w:r>
      <w:r>
        <w:rPr>
          <w:rFonts w:hint="eastAsia" w:ascii="仿宋_GB2312" w:hAnsi="仿宋_GB2312" w:eastAsia="仿宋_GB2312" w:cs="仿宋_GB2312"/>
          <w:sz w:val="28"/>
          <w:szCs w:val="32"/>
          <w:lang w:eastAsia="zh-CN"/>
        </w:rPr>
        <w:t>乐和乐都慢生活庄园（熊猫馆）及其配套项目EPC总承包工程</w:t>
      </w:r>
      <w:r>
        <w:rPr>
          <w:rFonts w:hint="eastAsia" w:ascii="仿宋_GB2312" w:hAnsi="仿宋_GB2312" w:eastAsia="仿宋_GB2312" w:cs="仿宋_GB2312"/>
          <w:sz w:val="28"/>
          <w:szCs w:val="32"/>
        </w:rPr>
        <w:t>图纸（电子版）</w:t>
      </w:r>
    </w:p>
    <w:p>
      <w:pPr>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29</w:t>
      </w:r>
      <w:r>
        <w:rPr>
          <w:rFonts w:hint="eastAsia" w:ascii="仿宋_GB2312" w:hAnsi="仿宋_GB2312" w:eastAsia="仿宋_GB2312" w:cs="仿宋_GB2312"/>
          <w:color w:val="000000"/>
          <w:sz w:val="28"/>
          <w:szCs w:val="28"/>
        </w:rPr>
        <w:t>日</w:t>
      </w: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p>
    <w:p>
      <w:pPr>
        <w:spacing w:before="100" w:beforeAutospacing="1"/>
        <w:ind w:left="-59" w:leftChars="-28"/>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乐和乐都慢生活庄园（熊猫馆）及其配套项目EPC总承包</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工程</w:t>
      </w: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themeColor="text1"/>
                <w:sz w:val="22"/>
                <w:szCs w:val="22"/>
                <w:u w:val="single"/>
                <w:lang w:val="en-US" w:eastAsia="zh-CN"/>
                <w14:textFill>
                  <w14:solidFill>
                    <w14:schemeClr w14:val="tx1"/>
                  </w14:solidFill>
                </w14:textFill>
              </w:rPr>
              <w:t>120</w:t>
            </w:r>
            <w:r>
              <w:rPr>
                <w:rFonts w:hint="eastAsia" w:ascii="仿宋_GB2312" w:hAnsi="仿宋_GB2312" w:eastAsia="仿宋_GB2312" w:cs="仿宋_GB2312"/>
                <w:color w:val="000000" w:themeColor="text1"/>
                <w:sz w:val="22"/>
                <w:szCs w:val="22"/>
                <w:u w:val="single"/>
                <w14:textFill>
                  <w14:solidFill>
                    <w14:schemeClr w14:val="tx1"/>
                  </w14:solidFill>
                </w14:textFill>
              </w:rPr>
              <w:t>日历天</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hint="eastAsia" w:ascii="仿宋_GB2312" w:hAnsi="仿宋_GB2312" w:eastAsia="仿宋_GB2312" w:cs="仿宋_GB2312"/>
          <w:sz w:val="20"/>
          <w:szCs w:val="22"/>
          <w:lang w:eastAsia="zh-CN"/>
        </w:rPr>
      </w:pPr>
      <w:r>
        <w:rPr>
          <w:rFonts w:hint="eastAsia" w:ascii="仿宋_GB2312" w:hAnsi="仿宋_GB2312" w:eastAsia="仿宋_GB2312" w:cs="仿宋_GB2312"/>
          <w:b/>
          <w:sz w:val="44"/>
          <w:szCs w:val="44"/>
          <w:lang w:eastAsia="zh-CN"/>
        </w:rPr>
        <w:t>乐和乐都慢生活庄园（熊猫馆）及其配套项目EPC总承包工程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乐和乐都慢生活庄园（熊猫馆）及其配套项目EPC总承包</w:t>
      </w: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工程</w:t>
      </w:r>
      <w:r>
        <w:rPr>
          <w:rFonts w:hint="eastAsia" w:ascii="仿宋_GB2312" w:hAnsi="仿宋_GB2312" w:eastAsia="仿宋_GB2312" w:cs="仿宋_GB2312"/>
          <w:b/>
          <w:sz w:val="32"/>
          <w:szCs w:val="32"/>
        </w:rPr>
        <w:t>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pacing w:val="9"/>
          <w:kern w:val="0"/>
          <w:sz w:val="28"/>
          <w:szCs w:val="28"/>
        </w:rPr>
        <w:t>甲方：</w:t>
      </w:r>
      <w:r>
        <w:rPr>
          <w:rFonts w:hint="eastAsia" w:ascii="方正仿宋_GBK" w:hAnsi="方正仿宋_GBK" w:eastAsia="方正仿宋_GBK" w:cs="方正仿宋_GBK"/>
          <w:sz w:val="28"/>
          <w:szCs w:val="28"/>
          <w:u w:val="single"/>
        </w:rPr>
        <w:t>重庆交旅建设工程有限公司</w:t>
      </w:r>
    </w:p>
    <w:p>
      <w:pPr>
        <w:spacing w:line="520" w:lineRule="exact"/>
        <w:jc w:val="left"/>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lang w:val="en-US" w:eastAsia="zh-CN"/>
        </w:rPr>
        <w:t xml:space="preserve">                        </w:t>
      </w:r>
    </w:p>
    <w:p>
      <w:pPr>
        <w:spacing w:line="520" w:lineRule="exact"/>
        <w:ind w:firstLine="560" w:firstLineChars="200"/>
        <w:jc w:val="left"/>
        <w:rPr>
          <w:rFonts w:ascii="仿宋_GB2312" w:hAnsi="仿宋_GB2312" w:eastAsia="仿宋_GB2312" w:cs="仿宋_GB2312"/>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乐和乐都慢生活庄园（熊猫馆）及其配套项目EPC总承包工程</w:t>
      </w:r>
      <w:r>
        <w:rPr>
          <w:rFonts w:hint="eastAsia" w:ascii="方正仿宋_GBK" w:hAnsi="方正仿宋_GBK" w:eastAsia="方正仿宋_GBK" w:cs="方正仿宋_GBK"/>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hint="eastAsia" w:ascii="仿宋_GB2312" w:hAnsi="仿宋_GB2312" w:eastAsia="仿宋_GB2312" w:cs="仿宋_GB2312"/>
          <w:sz w:val="28"/>
          <w:szCs w:val="28"/>
          <w:u w:val="single"/>
          <w:lang w:eastAsia="zh-CN"/>
        </w:rPr>
      </w:pPr>
      <w:r>
        <w:rPr>
          <w:rFonts w:hint="eastAsia" w:ascii="仿宋_GB2312" w:hAnsi="仿宋_GB2312" w:eastAsia="仿宋_GB2312" w:cs="仿宋_GB2312"/>
          <w:sz w:val="28"/>
          <w:szCs w:val="28"/>
        </w:rPr>
        <w:t>1.1工程名称：</w:t>
      </w:r>
      <w:r>
        <w:rPr>
          <w:rFonts w:hint="eastAsia" w:ascii="方正仿宋_GBK" w:hAnsi="方正仿宋_GBK" w:eastAsia="方正仿宋_GBK" w:cs="方正仿宋_GBK"/>
          <w:sz w:val="28"/>
          <w:szCs w:val="28"/>
          <w:u w:val="single"/>
          <w:lang w:eastAsia="zh-CN"/>
        </w:rPr>
        <w:t>乐和乐都慢生活庄园（熊猫馆）及其配套项目EPC总承包工程</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方正仿宋_GBK" w:hAnsi="方正仿宋_GBK" w:eastAsia="方正仿宋_GBK" w:cs="方正仿宋_GBK"/>
          <w:sz w:val="28"/>
          <w:szCs w:val="28"/>
          <w:u w:val="single"/>
        </w:rPr>
        <w:t>重庆市</w:t>
      </w:r>
      <w:r>
        <w:rPr>
          <w:rFonts w:hint="eastAsia" w:ascii="方正仿宋_GBK" w:hAnsi="方正仿宋_GBK" w:eastAsia="方正仿宋_GBK" w:cs="方正仿宋_GBK"/>
          <w:sz w:val="28"/>
          <w:szCs w:val="28"/>
          <w:u w:val="single"/>
          <w:lang w:val="en-US" w:eastAsia="zh-CN"/>
        </w:rPr>
        <w:t>永川区乐和乐都主题公园内</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3"/>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spacing w:line="520" w:lineRule="exact"/>
        <w:ind w:firstLine="560"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rPr>
        <w:t>本分包合同采用</w:t>
      </w:r>
      <w:r>
        <w:rPr>
          <w:rFonts w:hint="eastAsia" w:ascii="方正仿宋_GBK" w:hAnsi="方正仿宋_GBK" w:eastAsia="方正仿宋_GBK" w:cs="方正仿宋_GBK"/>
          <w:color w:val="000000"/>
          <w:sz w:val="28"/>
          <w:szCs w:val="32"/>
        </w:rPr>
        <w:t>清单综合单价形式</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综合单价在合同执行过程中不因任何原因作调整</w:t>
      </w:r>
      <w:r>
        <w:rPr>
          <w:rFonts w:hint="eastAsia" w:ascii="方正仿宋_GBK" w:hAnsi="方正仿宋_GBK" w:eastAsia="方正仿宋_GBK" w:cs="方正仿宋_GBK"/>
          <w:color w:val="000000"/>
          <w:sz w:val="28"/>
        </w:rPr>
        <w:t>，结算时按合同单价执行，工程量</w:t>
      </w:r>
      <w:r>
        <w:rPr>
          <w:rFonts w:hint="eastAsia" w:ascii="方正仿宋_GBK" w:hAnsi="方正仿宋_GBK" w:eastAsia="方正仿宋_GBK" w:cs="方正仿宋_GBK"/>
          <w:color w:val="000000"/>
          <w:sz w:val="28"/>
          <w:szCs w:val="28"/>
        </w:rPr>
        <w:t>按《重庆市建设工程工程量计算规则》（CQJLGZ-2013）及其相关规定计算</w:t>
      </w:r>
      <w:r>
        <w:rPr>
          <w:rFonts w:hint="eastAsia" w:ascii="方正仿宋_GBK" w:hAnsi="方正仿宋_GBK" w:eastAsia="方正仿宋_GBK" w:cs="方正仿宋_GBK"/>
          <w:color w:val="000000"/>
          <w:sz w:val="28"/>
        </w:rPr>
        <w:t>。合同含税总价为（大写）：</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，小写：</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sz w:val="28"/>
        </w:rPr>
        <w:t>其中安全文明施工费暂定金额为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元，</w:t>
      </w:r>
      <w:r>
        <w:rPr>
          <w:rFonts w:hint="eastAsia" w:ascii="方正仿宋_GBK" w:hAnsi="方正仿宋_GBK" w:eastAsia="方正仿宋_GBK" w:cs="方正仿宋_GBK"/>
          <w:color w:val="000000"/>
          <w:sz w:val="28"/>
        </w:rPr>
        <w:t>增值税税率为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auto"/>
          <w:sz w:val="28"/>
          <w:lang w:eastAsia="zh-CN"/>
        </w:rPr>
        <w:t>（</w:t>
      </w:r>
      <w:r>
        <w:rPr>
          <w:rFonts w:hint="eastAsia" w:ascii="方正仿宋_GBK" w:hAnsi="方正仿宋_GBK" w:eastAsia="方正仿宋_GBK" w:cs="方正仿宋_GBK"/>
          <w:sz w:val="28"/>
        </w:rPr>
        <w:t>若因国家增值税税率调整，则相应调整结算总价</w:t>
      </w:r>
      <w:r>
        <w:rPr>
          <w:rFonts w:hint="eastAsia" w:ascii="方正仿宋_GBK" w:hAnsi="方正仿宋_GBK" w:eastAsia="方正仿宋_GBK" w:cs="方正仿宋_GBK"/>
          <w:color w:val="auto"/>
          <w:sz w:val="28"/>
          <w:lang w:eastAsia="zh-CN"/>
        </w:rPr>
        <w:t>）</w:t>
      </w:r>
      <w:r>
        <w:rPr>
          <w:rFonts w:hint="eastAsia" w:ascii="方正仿宋_GBK" w:hAnsi="方正仿宋_GBK" w:eastAsia="方正仿宋_GBK" w:cs="方正仿宋_GBK"/>
          <w:sz w:val="28"/>
        </w:rPr>
        <w:t>。</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3.1合同语言：本合同文件使用汉语。</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3.2适用法律法规：国家有关法律、法规和地方的有关法规、规章及规范性文件均对本合同有约束力。</w:t>
      </w:r>
    </w:p>
    <w:p>
      <w:pPr>
        <w:spacing w:line="360" w:lineRule="auto"/>
        <w:ind w:firstLine="420"/>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乐和乐都慢生活庄园（熊猫馆）及其配套项目EPC总承包工程</w:t>
      </w:r>
      <w:r>
        <w:rPr>
          <w:rFonts w:hint="eastAsia" w:ascii="仿宋_GB2312" w:hAnsi="仿宋_GB2312" w:eastAsia="仿宋_GB2312" w:cs="仿宋_GB2312"/>
          <w:sz w:val="28"/>
          <w:szCs w:val="28"/>
        </w:rPr>
        <w:t>总包合同范围内临时设施工程、主体工程的劳务作业，具体以施工图纸及劳务清单为准。</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混凝土工程</w:t>
      </w:r>
      <w:r>
        <w:rPr>
          <w:rFonts w:hint="eastAsia" w:ascii="仿宋_GB2312" w:hAnsi="仿宋_GB2312" w:eastAsia="仿宋_GB2312" w:cs="仿宋_GB2312"/>
          <w:bCs/>
          <w:sz w:val="28"/>
          <w:szCs w:val="28"/>
        </w:rPr>
        <w:t>以商品砼为主，特殊情况及二次结构部分混凝土需现场拌和</w:t>
      </w:r>
      <w:r>
        <w:rPr>
          <w:rFonts w:hint="eastAsia" w:ascii="仿宋_GB2312" w:hAnsi="仿宋_GB2312" w:eastAsia="仿宋_GB2312" w:cs="仿宋_GB2312"/>
          <w:sz w:val="28"/>
          <w:szCs w:val="28"/>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仿宋_GB2312" w:hAnsi="仿宋_GB2312" w:eastAsia="仿宋_GB2312" w:cs="仿宋_GB2312"/>
          <w:bCs/>
          <w:sz w:val="28"/>
          <w:szCs w:val="28"/>
        </w:rPr>
        <w:t>搅拌机械、运输斗车、养护时用的水管、</w:t>
      </w:r>
      <w:r>
        <w:rPr>
          <w:rFonts w:hint="eastAsia" w:ascii="仿宋_GB2312" w:hAnsi="仿宋_GB2312" w:eastAsia="仿宋_GB2312" w:cs="仿宋_GB2312"/>
          <w:sz w:val="28"/>
          <w:szCs w:val="28"/>
        </w:rPr>
        <w:t>麻袋、</w:t>
      </w:r>
      <w:r>
        <w:rPr>
          <w:rFonts w:hint="eastAsia" w:ascii="仿宋_GB2312" w:hAnsi="仿宋_GB2312" w:eastAsia="仿宋_GB2312" w:cs="仿宋_GB2312"/>
          <w:bCs/>
          <w:sz w:val="28"/>
          <w:szCs w:val="28"/>
        </w:rPr>
        <w:t>养护薄膜</w:t>
      </w:r>
      <w:r>
        <w:rPr>
          <w:rFonts w:hint="eastAsia" w:ascii="仿宋_GB2312" w:hAnsi="仿宋_GB2312" w:eastAsia="仿宋_GB2312" w:cs="仿宋_GB2312"/>
          <w:sz w:val="28"/>
          <w:szCs w:val="28"/>
        </w:rPr>
        <w:t>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抹灰及楼地面工程（包括但不限于内墙、天棚、厨房、卫生间、</w:t>
      </w:r>
      <w:r>
        <w:rPr>
          <w:rFonts w:hint="eastAsia" w:ascii="仿宋_GB2312" w:hAnsi="仿宋_GB2312" w:eastAsia="仿宋_GB2312" w:cs="仿宋_GB2312"/>
          <w:bCs/>
          <w:sz w:val="28"/>
          <w:szCs w:val="28"/>
        </w:rPr>
        <w:t>阳台、</w:t>
      </w:r>
      <w:r>
        <w:rPr>
          <w:rFonts w:hint="eastAsia" w:ascii="仿宋_GB2312" w:hAnsi="仿宋_GB2312" w:eastAsia="仿宋_GB2312" w:cs="仿宋_GB2312"/>
          <w:sz w:val="28"/>
          <w:szCs w:val="28"/>
        </w:rPr>
        <w:t>楼地面、地下室及车库地坪、</w:t>
      </w:r>
      <w:r>
        <w:rPr>
          <w:rFonts w:hint="eastAsia" w:ascii="仿宋_GB2312" w:hAnsi="仿宋_GB2312" w:eastAsia="仿宋_GB2312" w:cs="仿宋_GB2312"/>
          <w:bCs/>
          <w:sz w:val="28"/>
          <w:szCs w:val="28"/>
        </w:rPr>
        <w:t>楼梯前室地面、楼梯间梯踏步、楼梯间梯踏步拦水线、休息平台基层</w:t>
      </w:r>
      <w:r>
        <w:rPr>
          <w:rFonts w:hint="eastAsia" w:ascii="仿宋_GB2312" w:hAnsi="仿宋_GB2312" w:eastAsia="仿宋_GB2312" w:cs="仿宋_GB2312"/>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bCs/>
          <w:sz w:val="28"/>
          <w:szCs w:val="28"/>
        </w:rPr>
        <w:t>屋面工程（包括</w:t>
      </w:r>
      <w:r>
        <w:rPr>
          <w:rFonts w:hint="eastAsia" w:ascii="仿宋_GB2312" w:hAnsi="仿宋_GB2312" w:eastAsia="仿宋_GB2312" w:cs="仿宋_GB2312"/>
          <w:sz w:val="28"/>
          <w:szCs w:val="28"/>
        </w:rPr>
        <w:t>但不限于</w:t>
      </w:r>
      <w:r>
        <w:rPr>
          <w:rFonts w:hint="eastAsia" w:ascii="仿宋_GB2312" w:hAnsi="仿宋_GB2312" w:eastAsia="仿宋_GB2312" w:cs="仿宋_GB2312"/>
          <w:bCs/>
          <w:sz w:val="28"/>
          <w:szCs w:val="28"/>
        </w:rPr>
        <w:t>（防水层施工除外）图纸设计的所有构造层）：</w:t>
      </w:r>
      <w:r>
        <w:rPr>
          <w:rFonts w:hint="eastAsia" w:ascii="仿宋_GB2312" w:hAnsi="仿宋_GB2312" w:eastAsia="仿宋_GB2312" w:cs="仿宋_GB2312"/>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装修工程（包括但不限于内墙、天棚、屋面、厨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 脚手架工程（包括本工程施工所需的外脚手架〈挑架或爬架〉、里脚手架、满堂脚手架、活动脚手架、电梯井架、安全防护架、安全网挑架、安全通道、吊料、卸料平台、</w:t>
      </w:r>
      <w:r>
        <w:rPr>
          <w:rFonts w:hint="eastAsia" w:ascii="仿宋_GB2312" w:hAnsi="仿宋_GB2312" w:eastAsia="仿宋_GB2312" w:cs="仿宋_GB2312"/>
          <w:bCs/>
          <w:sz w:val="28"/>
          <w:szCs w:val="28"/>
        </w:rPr>
        <w:t>加工房、搅拌台</w:t>
      </w:r>
      <w:r>
        <w:rPr>
          <w:rFonts w:hint="eastAsia" w:ascii="仿宋_GB2312" w:hAnsi="仿宋_GB2312" w:eastAsia="仿宋_GB2312" w:cs="仿宋_GB2312"/>
          <w:sz w:val="28"/>
          <w:szCs w:val="28"/>
        </w:rPr>
        <w:t>等全部脚手架工程）：平场、挖坑、驳接止扣、铺板、绑扎、立柱、垫脚及上部挑出承托和拉杆、漆花杆（油漆甲供）、挂拆安全网、</w:t>
      </w:r>
      <w:r>
        <w:rPr>
          <w:rFonts w:hint="eastAsia" w:ascii="仿宋_GB2312" w:hAnsi="仿宋_GB2312" w:eastAsia="仿宋_GB2312" w:cs="仿宋_GB2312"/>
          <w:bCs/>
          <w:sz w:val="28"/>
          <w:szCs w:val="28"/>
        </w:rPr>
        <w:t>各种安全警示牌、宣传标语、条幅（材料甲供）悬挂及拆除、</w:t>
      </w:r>
      <w:r>
        <w:rPr>
          <w:rFonts w:hint="eastAsia" w:ascii="仿宋_GB2312" w:hAnsi="仿宋_GB2312" w:eastAsia="仿宋_GB2312" w:cs="仿宋_GB2312"/>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lang w:val="en-US" w:eastAsia="zh-CN"/>
        </w:rPr>
        <w:t>120</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w:t>
      </w:r>
      <w:bookmarkStart w:id="0" w:name="_Hlk37929249"/>
      <w:r>
        <w:rPr>
          <w:rFonts w:hint="eastAsia" w:ascii="方正仿宋_GBK" w:hAnsi="方正仿宋_GBK" w:eastAsia="方正仿宋_GBK" w:cs="方正仿宋_GBK"/>
          <w:sz w:val="28"/>
          <w:szCs w:val="28"/>
        </w:rPr>
        <w:t>乙方承诺甲方可将此费用在应付乙方工程款中扣除</w:t>
      </w:r>
      <w:bookmarkEnd w:id="0"/>
      <w:r>
        <w:rPr>
          <w:rFonts w:hint="eastAsia" w:ascii="方正仿宋_GBK" w:hAnsi="方正仿宋_GBK" w:eastAsia="方正仿宋_GBK" w:cs="方正仿宋_GBK"/>
          <w:sz w:val="28"/>
          <w:szCs w:val="28"/>
        </w:rPr>
        <w:t>，</w:t>
      </w:r>
      <w:r>
        <w:rPr>
          <w:rFonts w:hint="eastAsia" w:ascii="仿宋_GB2312" w:hAnsi="仿宋_GB2312" w:eastAsia="仿宋_GB2312" w:cs="仿宋_GB2312"/>
          <w:sz w:val="28"/>
          <w:szCs w:val="28"/>
        </w:rPr>
        <w:t>两次以上节点工期延误，视为乙方无按期完工的能力，甲方有权单方解除、终止合同，乙方应接到甲方通知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天内无条件退场，甲方有权安排其他施工队伍进场施工，乙方已施工并达到合格要求的部分按实际完成工程量的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r>
        <w:rPr>
          <w:rFonts w:hint="eastAsia" w:ascii="仿宋_GB2312" w:hAnsi="仿宋_GB2312" w:eastAsia="仿宋_GB2312" w:cs="仿宋_GB2312"/>
          <w:kern w:val="0"/>
          <w:sz w:val="28"/>
          <w:szCs w:val="28"/>
          <w:lang w:eastAsia="zh-TW"/>
        </w:rPr>
        <w:t>，乙方承诺甲方可将此费用在应付乙方工程款中扣除。</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本工程采用劳务分包形式，乙方包人工、包辅材（含低值易耗品，除甲供主要材料表以外的所有材料）、包机械设备（甲方仅提供塔吊、</w:t>
      </w:r>
      <w:r>
        <w:rPr>
          <w:rFonts w:hint="eastAsia" w:ascii="仿宋_GB2312" w:hAnsi="仿宋_GB2312" w:eastAsia="仿宋_GB2312" w:cs="仿宋_GB2312"/>
          <w:sz w:val="28"/>
          <w:szCs w:val="28"/>
          <w:lang w:val="en-US" w:eastAsia="zh-CN"/>
        </w:rPr>
        <w:t>装载机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挖机</w:t>
      </w:r>
      <w:r>
        <w:rPr>
          <w:rFonts w:hint="eastAsia" w:ascii="仿宋_GB2312" w:hAnsi="仿宋_GB2312" w:eastAsia="仿宋_GB2312" w:cs="仿宋_GB2312"/>
          <w:sz w:val="28"/>
          <w:szCs w:val="28"/>
        </w:rPr>
        <w:t>）、包机械设备操作用工（含甲供机械）、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施工员、质量员、造价员、技术负责人及项目经理</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8.4计量条件：按如下计量规则执行，按月计量并按月支付，完成每一分项工程并评定合格，同时完善当月签证和相关扣款签字后方予以计量。</w:t>
      </w:r>
    </w:p>
    <w:p>
      <w:pPr>
        <w:spacing w:line="360" w:lineRule="auto"/>
        <w:ind w:firstLine="560" w:firstLineChars="200"/>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8.4.1临时设施工程：乙方在临时设施全部施工完成后，才可向甲方办理相应计量。</w:t>
      </w:r>
    </w:p>
    <w:p>
      <w:pPr>
        <w:spacing w:line="360" w:lineRule="auto"/>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主体工程：</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.1砼浇注：主体浇筑按清单报价表该子项合同价的</w:t>
      </w:r>
      <w:r>
        <w:rPr>
          <w:rFonts w:hint="eastAsia" w:ascii="仿宋_GB2312" w:hAnsi="仿宋_GB2312" w:eastAsia="仿宋_GB2312" w:cs="仿宋_GB2312"/>
          <w:bCs/>
          <w:color w:val="000000"/>
          <w:sz w:val="28"/>
          <w:szCs w:val="28"/>
          <w:u w:val="single"/>
        </w:rPr>
        <w:t>8</w:t>
      </w:r>
      <w:r>
        <w:rPr>
          <w:rFonts w:ascii="仿宋_GB2312" w:hAnsi="仿宋_GB2312" w:eastAsia="仿宋_GB2312" w:cs="仿宋_GB2312"/>
          <w:bCs/>
          <w:color w:val="000000"/>
          <w:sz w:val="28"/>
          <w:szCs w:val="28"/>
          <w:u w:val="single"/>
        </w:rPr>
        <w:t>5</w:t>
      </w:r>
      <w:r>
        <w:rPr>
          <w:rFonts w:hint="eastAsia" w:ascii="仿宋_GB2312" w:hAnsi="仿宋_GB2312" w:eastAsia="仿宋_GB2312" w:cs="仿宋_GB2312"/>
          <w:bCs/>
          <w:color w:val="000000"/>
          <w:sz w:val="28"/>
          <w:szCs w:val="28"/>
        </w:rPr>
        <w:t>%计量，二次结构自拌砼浇筑等按清单报价表该子项合同价的</w:t>
      </w:r>
      <w:r>
        <w:rPr>
          <w:rFonts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.2钢筋制作及安装（含辅材）：主体</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.3模板（含内脚手架及辅材）：主体模板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.4安全脚手架：主体安全脚手架</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%计量，二次结构安全脚手架等按清单报价表该子项合同价的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.5砌砖：二次结构砌体等的按清单报价表该子项合同价的</w:t>
      </w:r>
      <w:r>
        <w:rPr>
          <w:rFonts w:hint="eastAsia" w:ascii="仿宋_GB2312" w:hAnsi="仿宋_GB2312" w:eastAsia="仿宋_GB2312" w:cs="仿宋_GB2312"/>
          <w:bCs/>
          <w:color w:val="000000"/>
          <w:sz w:val="28"/>
          <w:szCs w:val="28"/>
          <w:u w:val="single"/>
        </w:rPr>
        <w:t>85</w:t>
      </w:r>
      <w:r>
        <w:rPr>
          <w:rFonts w:hint="eastAsia" w:ascii="仿宋_GB2312" w:hAnsi="仿宋_GB2312" w:eastAsia="仿宋_GB2312" w:cs="仿宋_GB2312"/>
          <w:bCs/>
          <w:color w:val="000000"/>
          <w:sz w:val="28"/>
          <w:szCs w:val="28"/>
        </w:rPr>
        <w:t>%计量，零星砌体按清单报价表该子项合同价的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.6植筋：二次结构植筋等按清单报价表该子项合同价的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.7内抹灰：二次结构内抹灰等按清单报价表该子项合同价的</w:t>
      </w:r>
      <w:r>
        <w:rPr>
          <w:rFonts w:hint="eastAsia" w:ascii="仿宋_GB2312" w:hAnsi="仿宋_GB2312" w:eastAsia="仿宋_GB2312" w:cs="仿宋_GB2312"/>
          <w:bCs/>
          <w:color w:val="000000"/>
          <w:sz w:val="28"/>
          <w:szCs w:val="28"/>
          <w:u w:val="single"/>
        </w:rPr>
        <w:t>80</w:t>
      </w:r>
      <w:r>
        <w:rPr>
          <w:rFonts w:hint="eastAsia" w:ascii="仿宋_GB2312" w:hAnsi="仿宋_GB2312" w:eastAsia="仿宋_GB2312" w:cs="仿宋_GB2312"/>
          <w:bCs/>
          <w:color w:val="000000"/>
          <w:sz w:val="28"/>
          <w:szCs w:val="28"/>
        </w:rPr>
        <w:t>%计量，收边收口等按清单报价表该子项合同价的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.8内墙涂料:完成结构层内的所有涂料内容后，才可计所属结构层的建筑面积，按清单报价表子项合同价的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.9屋面：屋面钢筋制安分项工程的按清单报价表该子项合同价的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%计量，找平层按清单报价表该子项合同价的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%计量，保护层按清单报价表该子项合同价的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%计量，刚性层砼按清单报价表该子项合同价的</w:t>
      </w:r>
      <w:r>
        <w:rPr>
          <w:rFonts w:hint="eastAsia" w:ascii="仿宋_GB2312" w:hAnsi="仿宋_GB2312" w:eastAsia="仿宋_GB2312" w:cs="仿宋_GB2312"/>
          <w:bCs/>
          <w:color w:val="000000"/>
          <w:sz w:val="28"/>
          <w:szCs w:val="28"/>
          <w:u w:val="single"/>
        </w:rPr>
        <w:t>34</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.10地坪：地坪回填的按清单报价表该子项合同价的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%计量，片石按清单报价表该子项合同价的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%计量，垫层按清单报价表该子项合同价的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%计量，面层砼等按清单报价表该子项合同价的</w:t>
      </w:r>
      <w:r>
        <w:rPr>
          <w:rFonts w:hint="eastAsia" w:ascii="仿宋_GB2312" w:hAnsi="仿宋_GB2312" w:eastAsia="仿宋_GB2312" w:cs="仿宋_GB2312"/>
          <w:bCs/>
          <w:color w:val="000000"/>
          <w:sz w:val="28"/>
          <w:szCs w:val="28"/>
          <w:u w:val="single"/>
        </w:rPr>
        <w:t>22</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.11楼地面：楼地面室内的按清单报价表该子项合同价的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%计量，梯步等按清单报价表该子项合同价的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安全文明施工费：以主体工程的税前合价为基数按比例计取。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lang w:val="en-US" w:eastAsia="zh-CN"/>
        </w:rPr>
        <w:t>3</w:t>
      </w:r>
      <w:r>
        <w:rPr>
          <w:rFonts w:hint="eastAsia" w:ascii="仿宋_GB2312" w:hAnsi="仿宋_GB2312" w:eastAsia="仿宋_GB2312" w:cs="仿宋_GB2312"/>
          <w:bCs/>
          <w:color w:val="000000"/>
          <w:sz w:val="28"/>
          <w:szCs w:val="28"/>
        </w:rPr>
        <w:t>管理费：以临时设施工程、主体工程、安全文明施工费的税前合价为基数按比例计取。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.1</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利润：以临时设施工程、主体工程、安全文明施工费的税前合价为基数按比例计取。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w:t>
      </w:r>
      <w:r>
        <w:rPr>
          <w:rFonts w:hint="eastAsia" w:ascii="仿宋_GB2312" w:hAnsi="仿宋_GB2312" w:eastAsia="仿宋_GB2312" w:cs="仿宋_GB2312"/>
          <w:bCs/>
          <w:color w:val="000000"/>
          <w:sz w:val="28"/>
          <w:szCs w:val="28"/>
          <w:lang w:val="en-US" w:eastAsia="zh-CN"/>
        </w:rPr>
        <w:t>2</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bCs/>
          <w:color w:val="000000"/>
          <w:sz w:val="28"/>
          <w:szCs w:val="28"/>
          <w:lang w:val="en-US" w:eastAsia="zh-CN"/>
        </w:rPr>
        <w:t>15</w:t>
      </w:r>
      <w:r>
        <w:rPr>
          <w:rFonts w:hint="eastAsia" w:ascii="仿宋_GB2312" w:hAnsi="仿宋_GB2312" w:eastAsia="仿宋_GB2312" w:cs="仿宋_GB2312"/>
          <w:bCs/>
          <w:color w:val="000000"/>
          <w:sz w:val="28"/>
          <w:szCs w:val="28"/>
        </w:rPr>
        <w:t xml:space="preserve">税金：以临时设施工程、主体工程、安全文明施工费、管理费、利润的税前合价为基数按比例计取。 </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8.5工程付款方式：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u w:val="none"/>
        </w:rPr>
        <w:t xml:space="preserve">% </w:t>
      </w:r>
      <w:r>
        <w:rPr>
          <w:rFonts w:hint="eastAsia" w:ascii="仿宋_GB2312" w:hAnsi="仿宋_GB2312" w:eastAsia="仿宋_GB2312" w:cs="仿宋_GB2312"/>
          <w:bCs/>
          <w:color w:val="000000"/>
          <w:sz w:val="28"/>
          <w:szCs w:val="28"/>
        </w:rPr>
        <w:t>增值税专用发票，甲方在收到乙方发票7个工作日内支付（特殊情况除外，但不超过30 天）</w:t>
      </w:r>
      <w:r>
        <w:rPr>
          <w:rFonts w:hint="eastAsia" w:ascii="仿宋_GB2312" w:hAnsi="仿宋_GB2312" w:eastAsia="仿宋_GB2312" w:cs="仿宋_GB2312"/>
          <w:bCs/>
          <w:sz w:val="28"/>
          <w:szCs w:val="28"/>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8.5.3进度支付比例：按甲方审定金额的</w:t>
      </w:r>
      <w:bookmarkStart w:id="1" w:name="_GoBack"/>
      <w:bookmarkEnd w:id="1"/>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u w:val="single"/>
          <w:lang w:val="en-US" w:eastAsia="zh-CN"/>
        </w:rPr>
        <w:t>75</w:t>
      </w:r>
      <w:r>
        <w:rPr>
          <w:rFonts w:hint="eastAsia" w:ascii="仿宋_GB2312" w:hAnsi="仿宋_GB2312" w:eastAsia="仿宋_GB2312" w:cs="仿宋_GB2312"/>
          <w:bCs/>
          <w:sz w:val="28"/>
          <w:szCs w:val="28"/>
        </w:rPr>
        <w:t xml:space="preserve"> %支付劳务费用。</w:t>
      </w:r>
    </w:p>
    <w:p>
      <w:pPr>
        <w:spacing w:line="360" w:lineRule="auto"/>
        <w:ind w:firstLine="411" w:firstLineChars="147"/>
        <w:outlineLvl w:val="2"/>
        <w:rPr>
          <w:rFonts w:ascii="仿宋_GB2312" w:hAnsi="仿宋_GB2312" w:eastAsia="仿宋_GB2312" w:cs="仿宋_GB2312"/>
          <w:sz w:val="28"/>
          <w:szCs w:val="28"/>
          <w:highlight w:val="yellow"/>
        </w:rPr>
      </w:pPr>
      <w:r>
        <w:rPr>
          <w:rFonts w:hint="eastAsia" w:ascii="仿宋_GB2312" w:hAnsi="仿宋_GB2312" w:eastAsia="仿宋_GB2312" w:cs="仿宋_GB2312"/>
          <w:bCs/>
          <w:sz w:val="28"/>
          <w:szCs w:val="28"/>
        </w:rPr>
        <w:t>8.6结算：乙方完成本合同分包范围内全部工作内容且经甲方、业主、监理及政府有关职能部门验收合格，在</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日内与甲方项目部完成工程量结算并提供结算书，甲方工程管理部在收到乙方提交的完整结算资料后</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天内完成公司级审签，</w:t>
      </w:r>
      <w:r>
        <w:rPr>
          <w:rFonts w:hint="eastAsia" w:ascii="仿宋_GB2312" w:hAnsi="仿宋_GB2312" w:eastAsia="仿宋_GB2312" w:cs="仿宋_GB2312"/>
          <w:bCs/>
          <w:color w:val="000000"/>
          <w:sz w:val="28"/>
          <w:szCs w:val="28"/>
        </w:rPr>
        <w:t>审签完毕支付至甲方审定金额的97%（</w:t>
      </w:r>
      <w:r>
        <w:rPr>
          <w:rFonts w:hint="eastAsia" w:ascii="仿宋_GB2312" w:hAnsi="仿宋_GB2312" w:eastAsia="仿宋_GB2312" w:cs="仿宋_GB2312"/>
          <w:bCs/>
          <w:sz w:val="28"/>
          <w:szCs w:val="28"/>
        </w:rPr>
        <w:t>支付前扣除施工过程中的违约金，以及</w:t>
      </w:r>
      <w:r>
        <w:rPr>
          <w:rFonts w:hint="eastAsia" w:ascii="仿宋_GB2312" w:hAnsi="仿宋_GB2312" w:eastAsia="仿宋_GB2312" w:cs="仿宋_GB2312"/>
          <w:sz w:val="28"/>
          <w:szCs w:val="28"/>
        </w:rPr>
        <w:t>由甲方前期统一负责缴纳的意外伤害保险费分摊费、乙方生活用水电费，施工用水电费由甲方承担），剩余审定金额的3%作为质量保证金待</w:t>
      </w:r>
      <w:r>
        <w:rPr>
          <w:rFonts w:hint="eastAsia" w:ascii="仿宋_GB2312" w:hAnsi="仿宋_GB2312" w:eastAsia="仿宋_GB2312"/>
          <w:sz w:val="28"/>
        </w:rPr>
        <w:t>保修期满后</w:t>
      </w:r>
      <w:r>
        <w:rPr>
          <w:rFonts w:hint="eastAsia" w:ascii="仿宋_GB2312" w:hAnsi="仿宋_GB2312" w:eastAsia="仿宋_GB2312"/>
          <w:sz w:val="28"/>
          <w:u w:val="single"/>
        </w:rPr>
        <w:t>7</w:t>
      </w:r>
      <w:r>
        <w:rPr>
          <w:rFonts w:hint="eastAsia" w:ascii="仿宋_GB2312" w:hAnsi="仿宋_GB2312" w:eastAsia="仿宋_GB2312"/>
          <w:sz w:val="28"/>
        </w:rPr>
        <w:t>日内支付（质保金不计息）</w:t>
      </w:r>
      <w:r>
        <w:rPr>
          <w:rFonts w:hint="eastAsia" w:ascii="仿宋_GB2312" w:hAnsi="仿宋_GB2312" w:eastAsia="仿宋_GB2312" w:cs="仿宋_GB2312"/>
          <w:sz w:val="28"/>
          <w:szCs w:val="28"/>
        </w:rPr>
        <w:t>。</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元/次违约金，乙方承诺甲方可将此费用在应付乙方工程款中扣除。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9.2甲方负责提供的大型设备、主材及周材：塔吊（料斗由乙方提供）、钢筋、砖、河沙、石子、水泥、商品砼、抹灰用钢丝网、钢筋接丝套筒、脚手架钢管、扣件、模板、安全网等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32"/>
        </w:rPr>
        <w:t>具体详见附件3甲供主要材料表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元/次违约金，造成使用过程中材料损坏丢失由乙方负责赔偿，造成工期延误由乙方承担责任，乙方承诺甲方可将此费用在应付乙方工程款中扣除</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color w:val="000000"/>
          <w:sz w:val="28"/>
          <w:szCs w:val="28"/>
        </w:rPr>
        <w:t>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元/次违约金。，乙方承诺甲方可将此费用在应付乙方工程款中扣除。施工电梯门焊接安装由乙方负责，主材料由甲方提供，若乙方不配合造成甲方另外安排人员安装，费用从乙方工程款中</w:t>
      </w:r>
      <w:r>
        <w:rPr>
          <w:rFonts w:hint="eastAsia" w:ascii="仿宋_GB2312" w:hAnsi="仿宋_GB2312" w:eastAsia="仿宋_GB2312" w:cs="仿宋_GB2312"/>
          <w:sz w:val="28"/>
          <w:szCs w:val="28"/>
          <w:u w:val="single"/>
        </w:rPr>
        <w:t>双倍</w:t>
      </w:r>
      <w:r>
        <w:rPr>
          <w:rFonts w:hint="eastAsia" w:ascii="仿宋_GB2312" w:hAnsi="仿宋_GB2312" w:eastAsia="仿宋_GB2312" w:cs="仿宋_GB2312"/>
          <w:sz w:val="28"/>
          <w:szCs w:val="28"/>
        </w:rPr>
        <w:t>扣除，并处乙方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元/次违约金，造成工期延误由乙方承担责任，乙方承诺甲方可将此费用在应付乙方工程款中扣除。</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9.5钢管脚手架损耗率在</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%以外的由乙方承担；扣件损耗率在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9.6模板</w:t>
      </w:r>
      <w:r>
        <w:rPr>
          <w:rFonts w:hint="eastAsia" w:ascii="仿宋_GB2312" w:hAnsi="仿宋_GB2312" w:eastAsia="仿宋_GB2312" w:cs="仿宋_GB2312"/>
          <w:sz w:val="28"/>
          <w:szCs w:val="28"/>
        </w:rPr>
        <w:t>损耗率在</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9.7钢筋损耗率控制在图算工程量</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%以内，</w:t>
      </w:r>
      <w:r>
        <w:rPr>
          <w:rFonts w:hint="eastAsia" w:ascii="仿宋_GB2312" w:hAnsi="仿宋_GB2312" w:eastAsia="仿宋_GB2312" w:cs="仿宋_GB2312"/>
          <w:sz w:val="28"/>
          <w:szCs w:val="28"/>
        </w:rPr>
        <w:t>超出</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倍的违约金，乙方承诺甲方可将此费用在应付乙方工程款中扣除。</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元/次违约金，若造成损失由乙方承担其经济和相关责任，乙方承诺甲方可将此费用在应付乙方工程款中扣除。</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10.4乙方必须做好成品、半成品保护工作，成品保护期至工程验收完毕并移交本项目业主方后结束。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10.5施工中由于乙方原因出现施工质量问题，按甲方质量管理条例承担违约金并赔偿给甲方所造成的经济损失，</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w:t>
      </w:r>
      <w:r>
        <w:rPr>
          <w:rFonts w:hint="eastAsia" w:ascii="仿宋_GB2312" w:hAnsi="仿宋_GB2312" w:eastAsia="仿宋_GB2312" w:cs="仿宋_GB2312"/>
          <w:bCs/>
          <w:sz w:val="28"/>
          <w:szCs w:val="28"/>
          <w:lang w:val="en-US" w:eastAsia="zh-CN"/>
        </w:rPr>
        <w:t>须</w:t>
      </w:r>
      <w:r>
        <w:rPr>
          <w:rFonts w:hint="eastAsia" w:ascii="方正仿宋_GBK" w:hAnsi="方正仿宋_GBK" w:eastAsia="方正仿宋_GBK" w:cs="方正仿宋_GBK"/>
          <w:bCs/>
          <w:sz w:val="28"/>
          <w:szCs w:val="28"/>
          <w:highlight w:val="none"/>
        </w:rPr>
        <w:t>设</w:t>
      </w:r>
      <w:r>
        <w:rPr>
          <w:rFonts w:hint="eastAsia" w:ascii="方正仿宋_GBK" w:hAnsi="方正仿宋_GBK" w:eastAsia="方正仿宋_GBK" w:cs="方正仿宋_GBK"/>
          <w:bCs/>
          <w:sz w:val="28"/>
          <w:szCs w:val="28"/>
          <w:highlight w:val="none"/>
          <w:lang w:val="en-US" w:eastAsia="zh-CN"/>
        </w:rPr>
        <w:t>置</w:t>
      </w:r>
      <w:r>
        <w:rPr>
          <w:rFonts w:hint="eastAsia" w:ascii="方正仿宋_GBK" w:hAnsi="方正仿宋_GBK" w:eastAsia="方正仿宋_GBK" w:cs="方正仿宋_GBK"/>
          <w:bCs/>
          <w:sz w:val="28"/>
          <w:szCs w:val="28"/>
          <w:highlight w:val="none"/>
        </w:rPr>
        <w:t>劳务</w:t>
      </w:r>
      <w:r>
        <w:rPr>
          <w:rFonts w:hint="eastAsia" w:ascii="方正仿宋_GBK" w:hAnsi="方正仿宋_GBK" w:eastAsia="方正仿宋_GBK" w:cs="方正仿宋_GBK"/>
          <w:bCs/>
          <w:sz w:val="28"/>
          <w:szCs w:val="28"/>
          <w:highlight w:val="none"/>
          <w:lang w:val="en-US" w:eastAsia="zh-CN"/>
        </w:rPr>
        <w:t>分包</w:t>
      </w:r>
      <w:r>
        <w:rPr>
          <w:rFonts w:hint="eastAsia" w:ascii="方正仿宋_GBK" w:hAnsi="方正仿宋_GBK" w:eastAsia="方正仿宋_GBK" w:cs="方正仿宋_GBK"/>
          <w:bCs/>
          <w:sz w:val="28"/>
          <w:szCs w:val="28"/>
          <w:highlight w:val="none"/>
        </w:rPr>
        <w:t>专职安全员</w:t>
      </w:r>
      <w:r>
        <w:rPr>
          <w:rFonts w:hint="eastAsia" w:ascii="仿宋_GB2312" w:hAnsi="仿宋_GB2312" w:eastAsia="仿宋_GB2312" w:cs="仿宋_GB2312"/>
          <w:bCs/>
          <w:sz w:val="28"/>
          <w:szCs w:val="28"/>
        </w:rPr>
        <w:t>，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元/人违约金，乙方承诺甲方可将此费用在应付乙方工程款中扣除。</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11.2.3.7宿舍内严禁使用煤气灶、煤油炉、电饭煲、热得快、电炒锅、电炉、电磁炉等违规器具，如发现处</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11.2.4.2施工现场、办公区、生活区、宿舍区等区域按要求配置灭火器材，灭火器材由甲方提供，乙方设专人管理。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11.2.6.3工地设符合卫生要求的男、女厕所，由乙方派专人进行冲洗及喷洒消毒药水。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11.2.6.6建立现场卫生责任制，设卫生保洁员，生活垃圾必须盛放在器内并做到及时清理。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元/次违约金，乙方承诺甲方可将此费用在应付乙方工程款中扣除。</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551" w:firstLineChars="197"/>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Cs/>
          <w:sz w:val="28"/>
          <w:szCs w:val="28"/>
          <w:highlight w:val="none"/>
        </w:rPr>
        <w:t>12.1</w:t>
      </w:r>
      <w:r>
        <w:rPr>
          <w:rFonts w:hint="eastAsia" w:ascii="方正仿宋_GBK" w:hAnsi="方正仿宋_GBK" w:eastAsia="方正仿宋_GBK" w:cs="方正仿宋_GBK"/>
          <w:color w:val="000000"/>
          <w:sz w:val="28"/>
          <w:szCs w:val="28"/>
          <w:highlight w:val="none"/>
        </w:rPr>
        <w:t>甲方指派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Cs/>
          <w:sz w:val="28"/>
          <w:szCs w:val="28"/>
          <w:highlight w:val="none"/>
        </w:rPr>
        <w:t>13.1</w:t>
      </w:r>
      <w:r>
        <w:rPr>
          <w:rFonts w:hint="eastAsia" w:ascii="方正仿宋_GBK" w:hAnsi="方正仿宋_GBK" w:eastAsia="方正仿宋_GBK" w:cs="方正仿宋_GBK"/>
          <w:color w:val="000000"/>
          <w:sz w:val="28"/>
          <w:szCs w:val="28"/>
          <w:highlight w:val="none"/>
        </w:rPr>
        <w:t>乙方指派</w:t>
      </w:r>
      <w:r>
        <w:rPr>
          <w:rFonts w:hint="eastAsia" w:ascii="方正仿宋_GBK" w:hAnsi="方正仿宋_GBK" w:eastAsia="方正仿宋_GBK" w:cs="方正仿宋_GBK"/>
          <w:color w:val="000000"/>
          <w:sz w:val="28"/>
          <w:szCs w:val="28"/>
          <w:highlight w:val="none"/>
          <w:u w:val="single"/>
          <w:lang w:val="en-US" w:eastAsia="zh-CN"/>
        </w:rPr>
        <w:t xml:space="preserve">      </w:t>
      </w:r>
      <w:r>
        <w:rPr>
          <w:rFonts w:hint="eastAsia" w:ascii="方正仿宋_GBK" w:hAnsi="方正仿宋_GBK" w:eastAsia="方正仿宋_GBK" w:cs="方正仿宋_GBK"/>
          <w:color w:val="000000"/>
          <w:sz w:val="28"/>
          <w:szCs w:val="28"/>
          <w:highlight w:val="none"/>
        </w:rPr>
        <w:t>为项目负责人（</w:t>
      </w:r>
      <w:r>
        <w:rPr>
          <w:rFonts w:hint="eastAsia" w:ascii="方正仿宋_GBK" w:hAnsi="方正仿宋_GBK" w:eastAsia="方正仿宋_GBK" w:cs="方正仿宋_GBK"/>
          <w:sz w:val="28"/>
          <w:szCs w:val="28"/>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sz w:val="28"/>
          <w:szCs w:val="28"/>
        </w:rPr>
        <w:t>电子邮箱</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u w:val="single"/>
          <w:lang w:val="en-US" w:eastAsia="zh-CN"/>
        </w:rPr>
        <w:t xml:space="preserve">      </w:t>
      </w:r>
      <w:r>
        <w:rPr>
          <w:rFonts w:hint="eastAsia" w:ascii="方正仿宋_GBK" w:hAnsi="方正仿宋_GBK" w:eastAsia="方正仿宋_GBK" w:cs="方正仿宋_GBK"/>
          <w:color w:val="000000"/>
          <w:sz w:val="28"/>
          <w:szCs w:val="28"/>
          <w:highlight w:val="none"/>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名、施工班组(电工、焊工、架子工等特殊工种必须持证上岗)，为配合甲方现场保卫工作，乙方至少配属保卫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r>
        <w:rPr>
          <w:rFonts w:hint="eastAsia" w:ascii="仿宋_GB2312" w:hAnsi="仿宋_GB2312" w:eastAsia="仿宋_GB2312" w:cs="仿宋_GB2312"/>
          <w:bCs/>
          <w:sz w:val="28"/>
          <w:szCs w:val="28"/>
        </w:rPr>
        <w:t>，乙方承诺甲方可将此费用在应付乙方工程款中扣除。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13.17乙方认可总包合同中有关甲方向</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的承诺及</w:t>
      </w:r>
      <w:r>
        <w:rPr>
          <w:rFonts w:hint="eastAsia" w:ascii="仿宋_GB2312" w:hAnsi="仿宋_GB2312" w:eastAsia="仿宋_GB2312" w:cs="仿宋_GB2312"/>
          <w:sz w:val="28"/>
          <w:szCs w:val="28"/>
        </w:rPr>
        <w:t>业主</w:t>
      </w:r>
      <w:r>
        <w:rPr>
          <w:rFonts w:hint="eastAsia" w:ascii="仿宋_GB2312" w:hAnsi="仿宋_GB2312" w:eastAsia="仿宋_GB2312" w:cs="仿宋_GB2312"/>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13.22乙方在建筑工地现场使用甲方提供的食堂、职工宿舍和办公室，其生活用品、工人住宿用的上下铺床、办公用品及厨具全部由乙方负责，费用已包含在劳务费中。</w:t>
      </w:r>
      <w:r>
        <w:rPr>
          <w:rFonts w:hint="eastAsia" w:ascii="仿宋_GB2312" w:hAnsi="仿宋_GB2312" w:eastAsia="仿宋_GB2312" w:cs="仿宋_GB2312"/>
          <w:sz w:val="28"/>
          <w:szCs w:val="28"/>
        </w:rPr>
        <w:t>乙方设置一个专职管理人员，负责宿舍卫生的清结保持。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r>
        <w:rPr>
          <w:rFonts w:hint="eastAsia" w:ascii="仿宋_GB2312" w:hAnsi="仿宋_GB2312" w:eastAsia="仿宋_GB2312" w:cs="仿宋_GB2312"/>
          <w:bCs/>
          <w:sz w:val="28"/>
          <w:szCs w:val="28"/>
        </w:rPr>
        <w:t>，乙方承诺甲方可将此费用在应付乙方工程款中扣除。</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21.2本合同附件是本合同的重要组成部份，与本合同具有同等法律效力。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ind w:firstLine="435"/>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、送达</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乙方送达地址：  </w:t>
      </w:r>
    </w:p>
    <w:p>
      <w:pPr>
        <w:ind w:left="4760" w:hanging="4760" w:hangingChars="17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p>
    <w:p>
      <w:pPr>
        <w:rPr>
          <w:rFonts w:hint="default" w:ascii="仿宋_GB2312" w:hAnsi="仿宋_GB2312" w:eastAsia="仿宋_GB2312" w:cs="仿宋_GB2312"/>
          <w:sz w:val="28"/>
          <w:szCs w:val="28"/>
          <w:lang w:val="en-US"/>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lang w:val="en-US" w:eastAsia="zh-CN"/>
        </w:rPr>
        <w:t xml:space="preserve"> </w:t>
      </w:r>
    </w:p>
    <w:p>
      <w:pPr>
        <w:spacing w:line="360" w:lineRule="auto"/>
        <w:ind w:firstLine="405"/>
        <w:outlineLvl w:val="1"/>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劳务分包清单报价表</w:t>
      </w:r>
    </w:p>
    <w:p>
      <w:pPr>
        <w:spacing w:line="360" w:lineRule="auto"/>
        <w:outlineLvl w:val="0"/>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方正仿宋_GBK" w:hAnsi="方正仿宋_GBK" w:eastAsia="方正仿宋_GBK" w:cs="方正仿宋_GBK"/>
          <w:sz w:val="28"/>
          <w:szCs w:val="28"/>
          <w:u w:val="single"/>
          <w:lang w:eastAsia="zh-CN"/>
        </w:rPr>
        <w:t>乐和乐都慢生活庄园（熊猫馆）及其配套项目EPC总承包工程</w:t>
      </w:r>
      <w:r>
        <w:rPr>
          <w:rFonts w:hint="eastAsia" w:ascii="方正仿宋_GBK" w:hAnsi="方正仿宋_GBK" w:eastAsia="方正仿宋_GBK" w:cs="方正仿宋_GBK"/>
          <w:sz w:val="28"/>
          <w:szCs w:val="28"/>
          <w:u w:val="single"/>
        </w:rPr>
        <w:t>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(一)工程名称：</w:t>
      </w:r>
      <w:r>
        <w:rPr>
          <w:rFonts w:hint="eastAsia" w:ascii="仿宋_GB2312" w:hAnsi="仿宋_GB2312" w:eastAsia="仿宋_GB2312" w:cs="仿宋_GB2312"/>
          <w:sz w:val="28"/>
          <w:szCs w:val="28"/>
          <w:lang w:eastAsia="zh-CN"/>
        </w:rPr>
        <w:t>乐和乐都慢生活庄园（熊猫馆）及其配套项目EPC总承包工程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w:t>
      </w:r>
      <w:r>
        <w:rPr>
          <w:rFonts w:hint="eastAsia" w:ascii="仿宋_GB2312" w:hAnsi="仿宋_GB2312" w:eastAsia="仿宋_GB2312" w:cs="仿宋_GB2312"/>
          <w:sz w:val="28"/>
          <w:szCs w:val="28"/>
          <w:lang w:val="en-US" w:eastAsia="zh-CN"/>
        </w:rPr>
        <w:t>永川区乐和乐都主题公园内</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w:t>
      </w:r>
      <w:r>
        <w:rPr>
          <w:rFonts w:hint="eastAsia" w:ascii="方正仿宋_GBK" w:hAnsi="方正仿宋_GBK" w:eastAsia="方正仿宋_GBK" w:cs="方正仿宋_GBK"/>
          <w:sz w:val="28"/>
          <w:szCs w:val="28"/>
          <w:highlight w:val="none"/>
        </w:rPr>
        <w:t>乙方须设置专职安全员</w:t>
      </w:r>
      <w:r>
        <w:rPr>
          <w:rFonts w:hint="eastAsia" w:ascii="仿宋_GB2312" w:hAnsi="仿宋_GB2312" w:eastAsia="仿宋_GB2312" w:cs="仿宋_GB2312"/>
          <w:sz w:val="28"/>
          <w:szCs w:val="28"/>
        </w:rPr>
        <w:t>，负责本工程项目的有关安全管理工作。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hint="eastAsia" w:ascii="方正仿宋_GBK" w:hAnsi="方正仿宋_GBK" w:eastAsia="方正仿宋_GBK" w:cs="方正仿宋_GBK"/>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劳务分包合同》的附件，谨供甲乙双方共同遵守。</w:t>
      </w:r>
    </w:p>
    <w:p>
      <w:pPr>
        <w:spacing w:line="360" w:lineRule="auto"/>
        <w:outlineLvl w:val="0"/>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8"/>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廉政合同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8"/>
          <w:szCs w:val="28"/>
        </w:rPr>
        <w:t>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u w:val="single"/>
          <w:lang w:eastAsia="zh-CN"/>
        </w:rPr>
        <w:t>乐和乐都慢生活庄园（熊猫馆）及其配套项目EPC总承包工程</w:t>
      </w:r>
      <w:r>
        <w:rPr>
          <w:rFonts w:hint="eastAsia" w:ascii="方正仿宋_GBK" w:hAnsi="方正仿宋_GBK" w:eastAsia="方正仿宋_GBK" w:cs="方正仿宋_GBK"/>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 xml:space="preserve">；监督举报电话：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w:t>
      </w:r>
      <w:r>
        <w:rPr>
          <w:rFonts w:hint="eastAsia" w:ascii="仿宋_GB2312" w:hAnsi="仿宋_GB2312" w:eastAsia="仿宋_GB2312" w:cs="仿宋_GB2312"/>
          <w:sz w:val="28"/>
          <w:szCs w:val="28"/>
          <w:lang w:eastAsia="zh-CN"/>
        </w:rPr>
        <w:t>乐和乐都慢生活庄园（熊猫馆）及其配套项目EPC总承包工程</w:t>
      </w:r>
      <w:r>
        <w:rPr>
          <w:rFonts w:hint="eastAsia" w:ascii="仿宋_GB2312" w:hAnsi="仿宋_GB2312" w:eastAsia="仿宋_GB2312" w:cs="仿宋_GB2312"/>
          <w:sz w:val="28"/>
          <w:szCs w:val="28"/>
        </w:rPr>
        <w:t>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snapToGrid/>
        <w:spacing w:line="500" w:lineRule="exact"/>
        <w:ind w:left="6480" w:leftChars="0" w:right="0" w:rightChars="0" w:hanging="6480" w:hangingChars="2700"/>
        <w:jc w:val="both"/>
        <w:textAlignment w:val="auto"/>
        <w:outlineLvl w:val="0"/>
        <w:rPr>
          <w:rFonts w:hint="default" w:ascii="方正仿宋_GBK" w:hAnsi="方正仿宋_GBK" w:eastAsia="方正仿宋_GBK" w:cs="方正仿宋_GBK"/>
          <w:sz w:val="24"/>
          <w:u w:val="single"/>
          <w:lang w:val="en-US" w:eastAsia="zh-CN"/>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（签名)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2"/>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6"/>
          <w:szCs w:val="36"/>
        </w:rPr>
        <w:t>甲供主要材料、周转材料及大型机械设备表</w:t>
      </w:r>
    </w:p>
    <w:tbl>
      <w:tblPr>
        <w:tblStyle w:val="10"/>
        <w:tblW w:w="8874" w:type="dxa"/>
        <w:tblInd w:w="0" w:type="dxa"/>
        <w:shd w:val="clear" w:color="auto" w:fill="auto"/>
        <w:tblLayout w:type="autofit"/>
        <w:tblCellMar>
          <w:top w:w="0" w:type="dxa"/>
          <w:left w:w="0" w:type="dxa"/>
          <w:bottom w:w="0" w:type="dxa"/>
          <w:right w:w="0" w:type="dxa"/>
        </w:tblCellMar>
      </w:tblPr>
      <w:tblGrid>
        <w:gridCol w:w="795"/>
        <w:gridCol w:w="3075"/>
        <w:gridCol w:w="1875"/>
        <w:gridCol w:w="795"/>
        <w:gridCol w:w="1515"/>
        <w:gridCol w:w="819"/>
      </w:tblGrid>
      <w:tr>
        <w:tblPrEx>
          <w:shd w:val="clear" w:color="auto" w:fill="auto"/>
          <w:tblCellMar>
            <w:top w:w="0" w:type="dxa"/>
            <w:left w:w="0" w:type="dxa"/>
            <w:bottom w:w="0" w:type="dxa"/>
            <w:right w:w="0" w:type="dxa"/>
          </w:tblCellMar>
        </w:tblPrEx>
        <w:trPr>
          <w:trHeight w:val="780" w:hRule="atLeast"/>
        </w:trPr>
        <w:tc>
          <w:tcPr>
            <w:tcW w:w="887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项目名称：乐和乐都慢生活庄园（熊猫馆）及其配套项目EPC总承包劳务分包合同</w:t>
            </w:r>
          </w:p>
        </w:tc>
      </w:tr>
      <w:tr>
        <w:tblPrEx>
          <w:tblCellMar>
            <w:top w:w="0" w:type="dxa"/>
            <w:left w:w="0" w:type="dxa"/>
            <w:bottom w:w="0" w:type="dxa"/>
            <w:right w:w="0"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（暂估）</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钢筋</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螺纹套筒连接件</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水泥、白水泥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Arial" w:hAnsi="Arial" w:eastAsia="宋体" w:cs="Arial"/>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瓜米石、碎石及片石</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各种砌体材料</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商品混凝土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m³</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钢丝网</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待定（各型）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tbl>
      <w:tblPr>
        <w:tblStyle w:val="10"/>
        <w:tblW w:w="9084" w:type="dxa"/>
        <w:tblInd w:w="0" w:type="dxa"/>
        <w:shd w:val="clear" w:color="auto" w:fill="auto"/>
        <w:tblLayout w:type="fixed"/>
        <w:tblCellMar>
          <w:top w:w="0" w:type="dxa"/>
          <w:left w:w="0" w:type="dxa"/>
          <w:bottom w:w="0" w:type="dxa"/>
          <w:right w:w="0" w:type="dxa"/>
        </w:tblCellMar>
      </w:tblPr>
      <w:tblGrid>
        <w:gridCol w:w="795"/>
        <w:gridCol w:w="3075"/>
        <w:gridCol w:w="1875"/>
        <w:gridCol w:w="795"/>
        <w:gridCol w:w="1515"/>
        <w:gridCol w:w="1029"/>
      </w:tblGrid>
      <w:tr>
        <w:tblPrEx>
          <w:shd w:val="clear" w:color="auto" w:fill="auto"/>
          <w:tblCellMar>
            <w:top w:w="0" w:type="dxa"/>
            <w:left w:w="0" w:type="dxa"/>
            <w:bottom w:w="0" w:type="dxa"/>
            <w:right w:w="0" w:type="dxa"/>
          </w:tblCellMar>
        </w:tblPrEx>
        <w:trPr>
          <w:trHeight w:val="780" w:hRule="atLeast"/>
        </w:trPr>
        <w:tc>
          <w:tcPr>
            <w:tcW w:w="9084"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项目名称：乐和乐都慢生活庄园（熊猫馆）及其配套项目EPC总承包劳务分包合同</w:t>
            </w:r>
          </w:p>
        </w:tc>
      </w:tr>
      <w:tr>
        <w:tblPrEx>
          <w:tblCellMar>
            <w:top w:w="0" w:type="dxa"/>
            <w:left w:w="0" w:type="dxa"/>
            <w:bottom w:w="0" w:type="dxa"/>
            <w:right w:w="0" w:type="dxa"/>
          </w:tblCellMar>
        </w:tblPrEx>
        <w:trPr>
          <w:trHeight w:val="69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材料/设备名称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单位</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材料用量</w:t>
            </w:r>
            <w:r>
              <w:rPr>
                <w:rFonts w:hint="eastAsia" w:ascii="黑体" w:hAnsi="宋体" w:eastAsia="黑体" w:cs="黑体"/>
                <w:i w:val="0"/>
                <w:color w:val="000000"/>
                <w:kern w:val="0"/>
                <w:sz w:val="21"/>
                <w:szCs w:val="21"/>
                <w:u w:val="none"/>
                <w:lang w:val="en-US" w:eastAsia="zh-CN" w:bidi="ar"/>
              </w:rPr>
              <w:br w:type="textWrapping"/>
            </w:r>
            <w:r>
              <w:rPr>
                <w:rFonts w:hint="eastAsia" w:ascii="黑体" w:hAnsi="宋体" w:eastAsia="黑体" w:cs="黑体"/>
                <w:i w:val="0"/>
                <w:color w:val="000000"/>
                <w:kern w:val="0"/>
                <w:sz w:val="21"/>
                <w:szCs w:val="21"/>
                <w:u w:val="none"/>
                <w:lang w:val="en-US" w:eastAsia="zh-CN" w:bidi="ar"/>
              </w:rPr>
              <w:t>（暂估）</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一</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周转材料</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模板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m2</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钢管</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工字钢</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扣件</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顶托</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竹跳板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机械设备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吊车</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装载机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挖机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w:t>
            </w: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8"/>
                <w:szCs w:val="28"/>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8"/>
                <w:szCs w:val="28"/>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8"/>
                <w:szCs w:val="28"/>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8"/>
                <w:szCs w:val="28"/>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vAlign w:val="center"/>
          </w:tcPr>
          <w:p>
            <w:pPr>
              <w:tabs>
                <w:tab w:val="left" w:pos="-420"/>
              </w:tabs>
              <w:jc w:val="center"/>
              <w:rPr>
                <w:rFonts w:ascii="仿宋_GB2312" w:hAnsi="仿宋_GB2312" w:eastAsia="仿宋_GB2312" w:cs="仿宋_GB2312"/>
                <w:sz w:val="28"/>
                <w:szCs w:val="28"/>
              </w:rPr>
            </w:pP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附件5</w:t>
      </w:r>
    </w:p>
    <w:tbl>
      <w:tblPr>
        <w:tblStyle w:val="10"/>
        <w:tblW w:w="11338" w:type="dxa"/>
        <w:jc w:val="center"/>
        <w:tblLayout w:type="autofit"/>
        <w:tblCellMar>
          <w:top w:w="0" w:type="dxa"/>
          <w:left w:w="0" w:type="dxa"/>
          <w:bottom w:w="0" w:type="dxa"/>
          <w:right w:w="0" w:type="dxa"/>
        </w:tblCellMar>
      </w:tblPr>
      <w:tblGrid>
        <w:gridCol w:w="11338"/>
      </w:tblGrid>
      <w:tr>
        <w:tblPrEx>
          <w:tblCellMar>
            <w:top w:w="0" w:type="dxa"/>
            <w:left w:w="0" w:type="dxa"/>
            <w:bottom w:w="0" w:type="dxa"/>
            <w:right w:w="0" w:type="dxa"/>
          </w:tblCellMar>
        </w:tblPrEx>
        <w:trPr>
          <w:trHeight w:val="840" w:hRule="atLeast"/>
          <w:jc w:val="center"/>
        </w:trPr>
        <w:tc>
          <w:tcPr>
            <w:tcW w:w="1133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000000"/>
                <w:kern w:val="0"/>
                <w:sz w:val="32"/>
                <w:szCs w:val="32"/>
                <w:lang w:eastAsia="zh-CN"/>
              </w:rPr>
            </w:pPr>
            <w:r>
              <w:rPr>
                <w:rFonts w:hint="eastAsia" w:ascii="宋体" w:hAnsi="宋体" w:cs="宋体"/>
                <w:b/>
                <w:color w:val="000000"/>
                <w:kern w:val="0"/>
                <w:sz w:val="32"/>
                <w:szCs w:val="32"/>
                <w:lang w:eastAsia="zh-CN"/>
              </w:rPr>
              <w:t>乐和乐都慢生活庄园（熊猫馆）及其配套项目EPC总承包工程</w:t>
            </w: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劳务分包清单报价表</w:t>
            </w:r>
          </w:p>
        </w:tc>
      </w:tr>
    </w:tbl>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乐和乐都慢生活庄园（熊猫馆）及其配套项目EPC总承包工程</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（签字）</w:t>
      </w:r>
    </w:p>
    <w:p>
      <w:pPr>
        <w:spacing w:before="100" w:beforeAutospacing="1"/>
        <w:ind w:right="2040"/>
        <w:jc w:val="left"/>
        <w:rPr>
          <w:rFonts w:hint="default" w:ascii="仿宋_GB2312" w:hAnsi="仿宋_GB2312" w:eastAsia="仿宋_GB2312" w:cs="仿宋_GB2312"/>
          <w:b/>
          <w:bCs/>
          <w:sz w:val="28"/>
          <w:szCs w:val="32"/>
          <w:u w:val="single"/>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q3o41gAAAAgBAAAPAAAAAAAAAAEAIAAAACIAAABkcnMvZG93bnJldi54bWxQ&#10;SwECFAAUAAAACACHTuJA657dyPkBAADyAwAADgAAAAAAAAABACAAAAAl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highlight w:val="none"/>
        </w:rPr>
      </w:pPr>
      <w:r>
        <w:rPr>
          <w:rFonts w:hint="eastAsia" w:ascii="仿宋_GB2312" w:hAnsi="仿宋_GB2312" w:eastAsia="仿宋_GB2312" w:cs="仿宋_GB2312"/>
          <w:sz w:val="30"/>
          <w:highlight w:val="none"/>
        </w:rPr>
        <w:t>经考察现场并根据贵单位提供的竞争性比选规则，</w:t>
      </w:r>
      <w:r>
        <w:rPr>
          <w:rFonts w:hint="eastAsia" w:ascii="仿宋_GB2312" w:hAnsi="仿宋_GB2312" w:eastAsia="仿宋_GB2312" w:cs="仿宋_GB2312"/>
          <w:spacing w:val="20"/>
          <w:sz w:val="30"/>
          <w:highlight w:val="none"/>
        </w:rPr>
        <w:t>我方</w:t>
      </w:r>
      <w:r>
        <w:rPr>
          <w:rFonts w:hint="eastAsia" w:ascii="仿宋_GB2312" w:hAnsi="仿宋_GB2312" w:eastAsia="仿宋_GB2312" w:cs="仿宋_GB2312"/>
          <w:sz w:val="30"/>
          <w:highlight w:val="none"/>
        </w:rPr>
        <w:t>的不含税报价为（大写）：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元，其中</w:t>
      </w:r>
      <w:r>
        <w:rPr>
          <w:rFonts w:ascii="仿宋_GB2312" w:hAnsi="仿宋_GB2312" w:eastAsia="仿宋_GB2312" w:cs="仿宋_GB2312"/>
          <w:sz w:val="30"/>
          <w:szCs w:val="30"/>
          <w:highlight w:val="none"/>
        </w:rPr>
        <w:t>安全文明施工费暂定金额为</w:t>
      </w:r>
      <w:r>
        <w:rPr>
          <w:rFonts w:hint="eastAsia" w:ascii="仿宋_GB2312" w:hAnsi="仿宋_GB2312" w:eastAsia="仿宋_GB2312" w:cs="仿宋_GB2312"/>
          <w:sz w:val="30"/>
          <w:szCs w:val="30"/>
          <w:highlight w:val="none"/>
          <w:u w:val="single"/>
          <w:lang w:val="en-US" w:eastAsia="zh-CN"/>
        </w:rPr>
        <w:t xml:space="preserve">              </w:t>
      </w:r>
      <w:r>
        <w:rPr>
          <w:rStyle w:val="15"/>
          <w:rFonts w:hint="default" w:hAnsi="仿宋_GB2312" w:cs="仿宋_GB2312"/>
          <w:sz w:val="30"/>
          <w:szCs w:val="24"/>
          <w:highlight w:val="none"/>
        </w:rPr>
        <w:t>元，</w:t>
      </w:r>
      <w:r>
        <w:rPr>
          <w:rFonts w:hint="eastAsia" w:ascii="仿宋_GB2312" w:hAnsi="仿宋_GB2312" w:eastAsia="仿宋_GB2312" w:cs="仿宋_GB2312"/>
          <w:sz w:val="30"/>
          <w:highlight w:val="none"/>
        </w:rPr>
        <w:t>含税总价为（大写）</w:t>
      </w:r>
      <w:r>
        <w:rPr>
          <w:rFonts w:hint="eastAsia" w:ascii="仿宋_GB2312" w:hAnsi="仿宋_GB2312" w:eastAsia="仿宋_GB2312" w:cs="仿宋_GB2312"/>
          <w:sz w:val="30"/>
          <w:highlight w:val="none"/>
          <w:lang w:eastAsia="zh-CN"/>
        </w:rPr>
        <w:t>：</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元，小写：</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元，增值税税率为</w:t>
      </w:r>
      <w:r>
        <w:rPr>
          <w:rFonts w:hint="eastAsia" w:ascii="仿宋_GB2312" w:hAnsi="仿宋_GB2312" w:eastAsia="仿宋_GB2312" w:cs="仿宋_GB2312"/>
          <w:sz w:val="30"/>
          <w:highlight w:val="none"/>
          <w:u w:val="single"/>
          <w:lang w:val="en-US" w:eastAsia="zh-CN"/>
        </w:rPr>
        <w:t xml:space="preserve">  </w:t>
      </w:r>
      <w:r>
        <w:rPr>
          <w:rFonts w:hint="eastAsia" w:ascii="仿宋_GB2312" w:hAnsi="仿宋_GB2312" w:eastAsia="仿宋_GB2312" w:cs="仿宋_GB2312"/>
          <w:sz w:val="30"/>
          <w:highlight w:val="none"/>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lang w:val="en-US" w:eastAsia="zh-CN"/>
        </w:rPr>
        <w:t>120</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BD7tcAAAAJAQAADwAAAAAAAAABACAAAAAiAAAAZHJzL2Rvd25yZXYueG1sUEsB&#10;AhQAFAAAAAgAh07iQKV3ER72AQAA8QMAAA4AAAAAAAAAAQAgAAAAJgEAAGRycy9lMm9Eb2MueG1s&#10;UEsFBgAAAAAGAAYAWQEAAI4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VtJtYAAAAJAQAADwAAAAAAAAABACAAAAAiAAAAZHJzL2Rvd25yZXYueG1sUEsB&#10;AhQAFAAAAAgAh07iQI9uW773AQAA8QMAAA4AAAAAAAAAAQAgAAAAJQEAAGRycy9lMm9Eb2MueG1s&#10;UEsFBgAAAAAGAAYAWQEAAI4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lifsl+QEAAPEDAAAOAAAAZHJzL2Uyb0RvYy54bWytU82O0zAQ&#10;viPxDpbvNGmXIj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WJ+yX5AQAA8QMAAA4AAAAAAAAAAQAgAAAAIw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本人</w:t>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系（竞价人名称）的法定代表人，现委托</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lang w:val="en-US" w:eastAsia="zh-CN"/>
        </w:rPr>
        <w:t xml:space="preserve">   </w:t>
      </w:r>
      <w:r>
        <w:rPr>
          <w:rFonts w:hint="eastAsia" w:ascii="方正仿宋_GBK" w:hAnsi="方正仿宋_GBK" w:eastAsia="方正仿宋_GBK" w:cs="方正仿宋_GBK"/>
          <w:sz w:val="28"/>
          <w:szCs w:val="32"/>
        </w:rPr>
        <w:t>为</w:t>
      </w:r>
    </w:p>
    <w:p>
      <w:pPr>
        <w:rPr>
          <w:rFonts w:ascii="仿宋_GB2312" w:hAnsi="仿宋_GB2312" w:eastAsia="仿宋_GB2312" w:cs="仿宋_GB2312"/>
          <w:sz w:val="28"/>
          <w:szCs w:val="32"/>
        </w:rPr>
      </w:pPr>
      <w:r>
        <w:rPr>
          <w:rFonts w:hint="eastAsia" w:ascii="方正仿宋_GBK" w:hAnsi="方正仿宋_GBK" w:eastAsia="方正仿宋_GBK" w:cs="方正仿宋_GBK"/>
          <w:sz w:val="28"/>
          <w:szCs w:val="32"/>
        </w:rPr>
        <w:t>我方代理人。代理人根据授权，以我方名义签署、澄清、说明、补正、递交、撤回、修改</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劳务分包竞争性比选书、签订合同和处理有关事宜，其法律后果由我方承担。</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2、拟选派主要管理人员情况表</w:t>
      </w:r>
    </w:p>
    <w:tbl>
      <w:tblPr>
        <w:tblStyle w:val="1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98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工种</w:t>
            </w:r>
          </w:p>
        </w:tc>
        <w:tc>
          <w:tcPr>
            <w:tcW w:w="144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姓名</w:t>
            </w:r>
          </w:p>
        </w:tc>
        <w:tc>
          <w:tcPr>
            <w:tcW w:w="720" w:type="dxa"/>
            <w:vAlign w:val="center"/>
          </w:tcPr>
          <w:p>
            <w:pPr>
              <w:spacing w:line="480" w:lineRule="auto"/>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年龄</w:t>
            </w:r>
          </w:p>
        </w:tc>
        <w:tc>
          <w:tcPr>
            <w:tcW w:w="1080"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职称</w:t>
            </w:r>
          </w:p>
        </w:tc>
        <w:tc>
          <w:tcPr>
            <w:tcW w:w="1620" w:type="dxa"/>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从事类似工作时间</w:t>
            </w:r>
          </w:p>
        </w:tc>
        <w:tc>
          <w:tcPr>
            <w:tcW w:w="2153" w:type="dxa"/>
            <w:vAlign w:val="center"/>
          </w:tcPr>
          <w:p>
            <w:pPr>
              <w:spacing w:line="400" w:lineRule="exact"/>
              <w:jc w:val="center"/>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980" w:type="dxa"/>
            <w:vAlign w:val="center"/>
          </w:tcPr>
          <w:p>
            <w:pPr>
              <w:tabs>
                <w:tab w:val="left" w:pos="-420"/>
              </w:tabs>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技术负责人</w:t>
            </w: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r>
              <w:rPr>
                <w:rFonts w:hint="eastAsia" w:ascii="仿宋" w:hAnsi="仿宋" w:eastAsia="仿宋" w:cs="仿宋"/>
                <w:b/>
                <w:bCs/>
                <w:szCs w:val="21"/>
                <w:highlight w:val="none"/>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b/>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vAlign w:val="center"/>
          </w:tcPr>
          <w:p>
            <w:pPr>
              <w:spacing w:line="480" w:lineRule="auto"/>
              <w:jc w:val="center"/>
              <w:rPr>
                <w:rFonts w:ascii="仿宋_GB2312" w:hAnsi="仿宋_GB2312" w:eastAsia="仿宋_GB2312" w:cs="仿宋_GB2312"/>
                <w:szCs w:val="21"/>
                <w:highlight w:val="none"/>
              </w:rPr>
            </w:pPr>
          </w:p>
        </w:tc>
        <w:tc>
          <w:tcPr>
            <w:tcW w:w="720" w:type="dxa"/>
            <w:vAlign w:val="center"/>
          </w:tcPr>
          <w:p>
            <w:pPr>
              <w:spacing w:line="480" w:lineRule="auto"/>
              <w:jc w:val="center"/>
              <w:rPr>
                <w:rFonts w:ascii="仿宋_GB2312" w:hAnsi="仿宋_GB2312" w:eastAsia="仿宋_GB2312" w:cs="仿宋_GB2312"/>
                <w:szCs w:val="21"/>
                <w:highlight w:val="none"/>
              </w:rPr>
            </w:pPr>
          </w:p>
        </w:tc>
        <w:tc>
          <w:tcPr>
            <w:tcW w:w="1080" w:type="dxa"/>
            <w:vAlign w:val="center"/>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vAlign w:val="center"/>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Cs w:val="21"/>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highlight w:val="none"/>
              </w:rPr>
            </w:pPr>
          </w:p>
        </w:tc>
        <w:tc>
          <w:tcPr>
            <w:tcW w:w="1980" w:type="dxa"/>
            <w:vAlign w:val="center"/>
          </w:tcPr>
          <w:p>
            <w:pPr>
              <w:tabs>
                <w:tab w:val="left" w:pos="-420"/>
              </w:tabs>
              <w:jc w:val="center"/>
              <w:rPr>
                <w:rFonts w:ascii="仿宋_GB2312" w:hAnsi="仿宋_GB2312" w:eastAsia="仿宋_GB2312" w:cs="仿宋_GB2312"/>
                <w:sz w:val="24"/>
                <w:highlight w:val="none"/>
              </w:rPr>
            </w:pPr>
          </w:p>
        </w:tc>
        <w:tc>
          <w:tcPr>
            <w:tcW w:w="1440" w:type="dxa"/>
          </w:tcPr>
          <w:p>
            <w:pPr>
              <w:spacing w:line="480" w:lineRule="auto"/>
              <w:jc w:val="center"/>
              <w:rPr>
                <w:rFonts w:ascii="仿宋_GB2312" w:hAnsi="仿宋_GB2312" w:eastAsia="仿宋_GB2312" w:cs="仿宋_GB2312"/>
                <w:szCs w:val="21"/>
                <w:highlight w:val="none"/>
              </w:rPr>
            </w:pPr>
          </w:p>
        </w:tc>
        <w:tc>
          <w:tcPr>
            <w:tcW w:w="720" w:type="dxa"/>
          </w:tcPr>
          <w:p>
            <w:pPr>
              <w:spacing w:line="480" w:lineRule="auto"/>
              <w:jc w:val="center"/>
              <w:rPr>
                <w:rFonts w:ascii="仿宋_GB2312" w:hAnsi="仿宋_GB2312" w:eastAsia="仿宋_GB2312" w:cs="仿宋_GB2312"/>
                <w:szCs w:val="21"/>
                <w:highlight w:val="none"/>
              </w:rPr>
            </w:pPr>
          </w:p>
        </w:tc>
        <w:tc>
          <w:tcPr>
            <w:tcW w:w="1080" w:type="dxa"/>
          </w:tcPr>
          <w:p>
            <w:pPr>
              <w:spacing w:line="480" w:lineRule="auto"/>
              <w:jc w:val="center"/>
              <w:rPr>
                <w:rFonts w:ascii="仿宋_GB2312" w:hAnsi="仿宋_GB2312" w:eastAsia="仿宋_GB2312" w:cs="仿宋_GB2312"/>
                <w:szCs w:val="21"/>
                <w:highlight w:val="none"/>
              </w:rPr>
            </w:pPr>
          </w:p>
        </w:tc>
        <w:tc>
          <w:tcPr>
            <w:tcW w:w="1620" w:type="dxa"/>
          </w:tcPr>
          <w:p>
            <w:pPr>
              <w:spacing w:line="480" w:lineRule="auto"/>
              <w:jc w:val="center"/>
              <w:rPr>
                <w:rFonts w:ascii="仿宋_GB2312" w:hAnsi="仿宋_GB2312" w:eastAsia="仿宋_GB2312" w:cs="仿宋_GB2312"/>
                <w:szCs w:val="21"/>
                <w:highlight w:val="none"/>
              </w:rPr>
            </w:pPr>
          </w:p>
        </w:tc>
        <w:tc>
          <w:tcPr>
            <w:tcW w:w="2153" w:type="dxa"/>
          </w:tcPr>
          <w:p>
            <w:pPr>
              <w:spacing w:line="480" w:lineRule="auto"/>
              <w:jc w:val="center"/>
              <w:rPr>
                <w:rFonts w:ascii="仿宋_GB2312" w:hAnsi="仿宋_GB2312" w:eastAsia="仿宋_GB2312" w:cs="仿宋_GB2312"/>
                <w:szCs w:val="21"/>
                <w:highlight w:val="none"/>
              </w:rPr>
            </w:pPr>
          </w:p>
        </w:tc>
      </w:tr>
    </w:tbl>
    <w:p>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注：以上表格内容须如实完整填写，并按要求附相关证件复印件并加盖单位鲜章，如人员未填写齐全按否决投标处理。其余专职安全员、质量员、施工员等项目主要管理人员由竞价人自行承诺在项目施工进场前配备。</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spacing w:before="0" w:line="240" w:lineRule="auto"/>
        <w:ind w:firstLine="1120" w:firstLineChars="400"/>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pStyle w:val="2"/>
      </w:pPr>
    </w:p>
    <w:p>
      <w:pPr>
        <w:rPr>
          <w:rFonts w:hint="eastAsia" w:ascii="仿宋_GB2312" w:hAnsi="仿宋_GB2312" w:eastAsia="仿宋_GB2312" w:cs="仿宋_GB2312"/>
          <w:b/>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方正仿宋_GBK" w:hAnsi="方正仿宋_GBK" w:eastAsia="方正仿宋_GBK" w:cs="方正仿宋_GBK"/>
          <w:b/>
          <w:sz w:val="28"/>
          <w:szCs w:val="28"/>
          <w:lang w:eastAsia="zh-CN"/>
        </w:rPr>
        <w:t>乐和乐都慢生活庄园（熊猫馆）及其配套项目EPC总承包工程</w:t>
      </w:r>
      <w:r>
        <w:rPr>
          <w:rFonts w:hint="eastAsia" w:ascii="方正仿宋_GBK" w:hAnsi="方正仿宋_GBK" w:eastAsia="方正仿宋_GBK" w:cs="方正仿宋_GBK"/>
          <w:b/>
          <w:sz w:val="28"/>
          <w:szCs w:val="28"/>
        </w:rPr>
        <w:t>劳务分包清单报价表（</w:t>
      </w:r>
      <w:r>
        <w:rPr>
          <w:rFonts w:hint="eastAsia" w:ascii="方正仿宋_GBK" w:hAnsi="方正仿宋_GBK" w:eastAsia="方正仿宋_GBK" w:cs="方正仿宋_GBK"/>
          <w:b/>
          <w:sz w:val="28"/>
          <w:szCs w:val="28"/>
          <w:lang w:val="en-US" w:eastAsia="zh-CN"/>
        </w:rPr>
        <w:t>软件版</w:t>
      </w:r>
      <w:r>
        <w:rPr>
          <w:rFonts w:hint="eastAsia" w:ascii="方正仿宋_GBK" w:hAnsi="方正仿宋_GBK" w:eastAsia="方正仿宋_GBK" w:cs="方正仿宋_GBK"/>
          <w:b/>
          <w:sz w:val="28"/>
          <w:szCs w:val="28"/>
        </w:rPr>
        <w:t>附U盘）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textAlignment w:val="center"/>
        <w:rPr>
          <w:rFonts w:ascii="宋体" w:hAnsi="宋体" w:eastAsia="仿宋_GB2312" w:cs="宋体"/>
          <w:b/>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附件四：</w:t>
      </w:r>
      <w:r>
        <w:rPr>
          <w:rFonts w:hint="eastAsia" w:ascii="方正仿宋_GBK" w:hAnsi="方正仿宋_GBK" w:eastAsia="方正仿宋_GBK" w:cs="方正仿宋_GBK"/>
          <w:color w:val="000000" w:themeColor="text1"/>
          <w:sz w:val="28"/>
          <w:szCs w:val="32"/>
          <w:lang w:eastAsia="zh-CN"/>
          <w14:textFill>
            <w14:solidFill>
              <w14:schemeClr w14:val="tx1"/>
            </w14:solidFill>
          </w14:textFill>
        </w:rPr>
        <w:t>乐和乐都慢生活庄园（熊猫馆）及其配套项目EPC总承包工程</w:t>
      </w:r>
      <w:r>
        <w:rPr>
          <w:rFonts w:hint="eastAsia" w:ascii="方正仿宋_GBK" w:hAnsi="方正仿宋_GBK" w:eastAsia="方正仿宋_GBK" w:cs="方正仿宋_GBK"/>
          <w:color w:val="000000" w:themeColor="text1"/>
          <w:sz w:val="28"/>
          <w:szCs w:val="32"/>
          <w14:textFill>
            <w14:solidFill>
              <w14:schemeClr w14:val="tx1"/>
            </w14:solidFill>
          </w14:textFill>
        </w:rPr>
        <w:t>劳务分包清单报价表（另附）</w:t>
      </w:r>
    </w:p>
    <w:p>
      <w:pPr>
        <w:widowControl/>
        <w:jc w:val="left"/>
        <w:textAlignment w:val="center"/>
        <w:rPr>
          <w:rFonts w:ascii="仿宋_GB2312" w:hAnsi="仿宋_GB2312" w:eastAsia="仿宋_GB2312" w:cs="仿宋_GB2312"/>
          <w:color w:val="FF0000"/>
          <w:sz w:val="28"/>
          <w:szCs w:val="32"/>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textAlignment w:val="center"/>
        <w:rPr>
          <w:rFonts w:ascii="仿宋_GB2312" w:hAnsi="仿宋_GB2312" w:eastAsia="仿宋_GB2312" w:cs="仿宋_GB2312"/>
          <w:b/>
          <w:bCs/>
          <w:color w:val="000000" w:themeColor="text1"/>
          <w:sz w:val="28"/>
          <w:szCs w:val="32"/>
          <w14:textFill>
            <w14:solidFill>
              <w14:schemeClr w14:val="tx1"/>
            </w14:solidFill>
          </w14:textFill>
        </w:rPr>
      </w:pPr>
      <w:r>
        <w:rPr>
          <w:rFonts w:hint="eastAsia" w:ascii="仿宋_GB2312" w:hAnsi="仿宋_GB2312" w:eastAsia="仿宋_GB2312" w:cs="仿宋_GB2312"/>
          <w:b/>
          <w:bCs/>
          <w:color w:val="000000" w:themeColor="text1"/>
          <w:sz w:val="28"/>
          <w:szCs w:val="32"/>
          <w14:textFill>
            <w14:solidFill>
              <w14:schemeClr w14:val="tx1"/>
            </w14:solidFill>
          </w14:textFill>
        </w:rPr>
        <w:t>附件五：</w:t>
      </w:r>
      <w:r>
        <w:rPr>
          <w:rFonts w:hint="eastAsia" w:ascii="方正仿宋_GBK" w:hAnsi="方正仿宋_GBK" w:eastAsia="方正仿宋_GBK" w:cs="方正仿宋_GBK"/>
          <w:b/>
          <w:bCs/>
          <w:color w:val="000000" w:themeColor="text1"/>
          <w:sz w:val="28"/>
          <w:szCs w:val="32"/>
          <w:lang w:eastAsia="zh-CN"/>
          <w14:textFill>
            <w14:solidFill>
              <w14:schemeClr w14:val="tx1"/>
            </w14:solidFill>
          </w14:textFill>
        </w:rPr>
        <w:t>乐和乐都慢生活庄园（熊猫馆）及其配套项目EPC总承包工程</w:t>
      </w:r>
      <w:r>
        <w:rPr>
          <w:rFonts w:hint="eastAsia" w:ascii="方正仿宋_GBK" w:hAnsi="方正仿宋_GBK" w:eastAsia="方正仿宋_GBK" w:cs="方正仿宋_GBK"/>
          <w:b/>
          <w:bCs/>
          <w:color w:val="000000" w:themeColor="text1"/>
          <w:sz w:val="28"/>
          <w:szCs w:val="32"/>
          <w14:textFill>
            <w14:solidFill>
              <w14:schemeClr w14:val="tx1"/>
            </w14:solidFill>
          </w14:textFill>
        </w:rPr>
        <w:t>劳务分包清单总价最高限价及单价最高限价表（另附）</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附件六：</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图纸（电子版）（另附）</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FC10468-32BE-463F-8A80-DB74049F7A06}"/>
  </w:font>
  <w:font w:name="黑体">
    <w:panose1 w:val="02010609060101010101"/>
    <w:charset w:val="86"/>
    <w:family w:val="auto"/>
    <w:pitch w:val="default"/>
    <w:sig w:usb0="800002BF" w:usb1="38CF7CFA" w:usb2="00000016" w:usb3="00000000" w:csb0="00040001" w:csb1="00000000"/>
    <w:embedRegular r:id="rId2" w:fontKey="{49BCA140-493A-46CD-B066-ECF8FA504C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56B55D16-8CFD-4B8D-9A24-6293FD6C3199}"/>
  </w:font>
  <w:font w:name="仿宋_GB2312">
    <w:panose1 w:val="02010609030101010101"/>
    <w:charset w:val="86"/>
    <w:family w:val="modern"/>
    <w:pitch w:val="default"/>
    <w:sig w:usb0="00000001" w:usb1="080E0000" w:usb2="00000000" w:usb3="00000000" w:csb0="00040000" w:csb1="00000000"/>
    <w:embedRegular r:id="rId4" w:fontKey="{618B50E9-D753-45A7-84C7-651AB415C0CF}"/>
  </w:font>
  <w:font w:name="??_GB2312">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5" w:fontKey="{1B380110-39F2-407B-B9D4-B1A2D4C9AD3A}"/>
  </w:font>
  <w:font w:name="Helvetica">
    <w:altName w:val="Arial"/>
    <w:panose1 w:val="020B0604020202020204"/>
    <w:charset w:val="00"/>
    <w:family w:val="swiss"/>
    <w:pitch w:val="default"/>
    <w:sig w:usb0="00000000" w:usb1="00000000" w:usb2="00000009" w:usb3="00000000" w:csb0="000001FF" w:csb1="00000000"/>
    <w:embedRegular r:id="rId6" w:fontKey="{BE58A4BC-EBEA-4CC1-8457-1195F6A1A12C}"/>
  </w:font>
  <w:font w:name="方正小标宋简体">
    <w:panose1 w:val="03000509000000000000"/>
    <w:charset w:val="86"/>
    <w:family w:val="auto"/>
    <w:pitch w:val="default"/>
    <w:sig w:usb0="00000001" w:usb1="080E0000" w:usb2="00000000" w:usb3="00000000" w:csb0="00040000" w:csb1="00000000"/>
    <w:embedRegular r:id="rId7" w:fontKey="{EC8C39A0-712E-4F28-AF5D-B00A5DCD904C}"/>
  </w:font>
  <w:font w:name="仿宋">
    <w:panose1 w:val="02010609060101010101"/>
    <w:charset w:val="86"/>
    <w:family w:val="modern"/>
    <w:pitch w:val="default"/>
    <w:sig w:usb0="800002BF" w:usb1="38CF7CFA" w:usb2="00000016" w:usb3="00000000" w:csb0="00040001" w:csb1="00000000"/>
    <w:embedRegular r:id="rId8" w:fontKey="{CEBDBCC5-8A73-46AA-9031-537494A1F83E}"/>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C077A5F"/>
    <w:rsid w:val="0D3F325A"/>
    <w:rsid w:val="0D4C6962"/>
    <w:rsid w:val="11006316"/>
    <w:rsid w:val="152F01F8"/>
    <w:rsid w:val="1A821F5E"/>
    <w:rsid w:val="1D3904CF"/>
    <w:rsid w:val="1D934CD2"/>
    <w:rsid w:val="1FD5482F"/>
    <w:rsid w:val="24565E4D"/>
    <w:rsid w:val="29D114F4"/>
    <w:rsid w:val="2E26503A"/>
    <w:rsid w:val="2E9D1455"/>
    <w:rsid w:val="2EFC463E"/>
    <w:rsid w:val="2F4D6145"/>
    <w:rsid w:val="31C42A17"/>
    <w:rsid w:val="325624CA"/>
    <w:rsid w:val="355D3C48"/>
    <w:rsid w:val="35E57D51"/>
    <w:rsid w:val="35F30C1F"/>
    <w:rsid w:val="366240C0"/>
    <w:rsid w:val="36691A29"/>
    <w:rsid w:val="38980076"/>
    <w:rsid w:val="3E576B4D"/>
    <w:rsid w:val="3F3719B1"/>
    <w:rsid w:val="40DC7D6B"/>
    <w:rsid w:val="427B3BB8"/>
    <w:rsid w:val="44B64F6E"/>
    <w:rsid w:val="455A26C6"/>
    <w:rsid w:val="46901BD1"/>
    <w:rsid w:val="47F342E1"/>
    <w:rsid w:val="486F0D43"/>
    <w:rsid w:val="4B0F04A7"/>
    <w:rsid w:val="4B2C1554"/>
    <w:rsid w:val="4C8C3252"/>
    <w:rsid w:val="4CF42F20"/>
    <w:rsid w:val="4DAA03B3"/>
    <w:rsid w:val="52D94FAE"/>
    <w:rsid w:val="583A5119"/>
    <w:rsid w:val="5AED30AB"/>
    <w:rsid w:val="5C6C7B75"/>
    <w:rsid w:val="61730F02"/>
    <w:rsid w:val="61FD476E"/>
    <w:rsid w:val="627339B1"/>
    <w:rsid w:val="67E46081"/>
    <w:rsid w:val="68F80E14"/>
    <w:rsid w:val="6967655C"/>
    <w:rsid w:val="6D26564E"/>
    <w:rsid w:val="6EA502EB"/>
    <w:rsid w:val="6FB948AD"/>
    <w:rsid w:val="72497471"/>
    <w:rsid w:val="724B16EC"/>
    <w:rsid w:val="75F97F86"/>
    <w:rsid w:val="76234AE6"/>
    <w:rsid w:val="783E7701"/>
    <w:rsid w:val="78F471BA"/>
    <w:rsid w:val="7D7F41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6</TotalTime>
  <ScaleCrop>false</ScaleCrop>
  <LinksUpToDate>false</LinksUpToDate>
  <CharactersWithSpaces>34359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何波</cp:lastModifiedBy>
  <cp:lastPrinted>2020-07-21T06:21:00Z</cp:lastPrinted>
  <dcterms:modified xsi:type="dcterms:W3CDTF">2020-12-01T08:49:30Z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